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56" w:beforeLines="50" w:after="156" w:afterLines="50" w:line="400" w:lineRule="exact"/>
        <w:ind w:firstLine="0" w:firstLineChars="0"/>
        <w:jc w:val="center"/>
        <w:rPr>
          <w:rFonts w:ascii="Times New Roman" w:hAnsi="Times New Roman"/>
          <w:b/>
          <w:kern w:val="0"/>
          <w:sz w:val="24"/>
        </w:rPr>
      </w:pPr>
      <w:r>
        <w:rPr>
          <w:rFonts w:ascii="Times New Roman" w:hAnsi="Times New Roman"/>
          <w:b/>
          <w:kern w:val="0"/>
          <w:sz w:val="24"/>
        </w:rPr>
        <w:t xml:space="preserve">证券代码：000563  </w:t>
      </w:r>
      <w:r>
        <w:rPr>
          <w:rFonts w:hint="eastAsia" w:ascii="Times New Roman" w:hAnsi="Times New Roman"/>
          <w:b/>
          <w:kern w:val="0"/>
          <w:sz w:val="24"/>
          <w:lang w:val="en-US" w:eastAsia="zh-CN"/>
        </w:rPr>
        <w:t xml:space="preserve">                   </w:t>
      </w:r>
      <w:r>
        <w:rPr>
          <w:rFonts w:ascii="Times New Roman" w:hAnsi="Times New Roman"/>
          <w:b/>
          <w:kern w:val="0"/>
          <w:sz w:val="24"/>
        </w:rPr>
        <w:t xml:space="preserve">   </w:t>
      </w:r>
      <w:r>
        <w:rPr>
          <w:rFonts w:hint="eastAsia" w:ascii="Times New Roman" w:hAnsi="Times New Roman"/>
          <w:b/>
          <w:kern w:val="0"/>
          <w:sz w:val="24"/>
          <w:lang w:val="en-US" w:eastAsia="zh-CN"/>
        </w:rPr>
        <w:t xml:space="preserve"> </w:t>
      </w:r>
      <w:r>
        <w:rPr>
          <w:rFonts w:ascii="Times New Roman" w:hAnsi="Times New Roman"/>
          <w:b/>
          <w:kern w:val="0"/>
          <w:sz w:val="24"/>
        </w:rPr>
        <w:t xml:space="preserve"> </w:t>
      </w:r>
      <w:r>
        <w:rPr>
          <w:rFonts w:hint="eastAsia" w:ascii="Times New Roman" w:hAnsi="Times New Roman"/>
          <w:b/>
          <w:kern w:val="0"/>
          <w:sz w:val="24"/>
        </w:rPr>
        <w:t xml:space="preserve"> </w:t>
      </w:r>
      <w:r>
        <w:rPr>
          <w:rFonts w:ascii="Times New Roman" w:hAnsi="Times New Roman"/>
          <w:b/>
          <w:kern w:val="0"/>
          <w:sz w:val="24"/>
        </w:rPr>
        <w:t xml:space="preserve">证券简称：陕国投A </w:t>
      </w:r>
    </w:p>
    <w:p>
      <w:pPr>
        <w:widowControl w:val="0"/>
        <w:spacing w:before="156" w:beforeLines="50" w:after="156" w:afterLines="50" w:line="400" w:lineRule="exact"/>
        <w:ind w:firstLine="0" w:firstLineChars="0"/>
        <w:jc w:val="center"/>
        <w:rPr>
          <w:rFonts w:ascii="Times New Roman" w:hAnsi="Times New Roman"/>
          <w:b/>
          <w:kern w:val="0"/>
          <w:sz w:val="24"/>
        </w:rPr>
      </w:pPr>
    </w:p>
    <w:p>
      <w:pPr>
        <w:widowControl w:val="0"/>
        <w:spacing w:before="156" w:beforeLines="50" w:after="156" w:afterLines="50" w:line="400" w:lineRule="exact"/>
        <w:ind w:firstLine="0" w:firstLineChars="0"/>
        <w:jc w:val="center"/>
        <w:rPr>
          <w:rFonts w:ascii="宋体" w:hAnsi="宋体"/>
          <w:b/>
          <w:iCs/>
          <w:sz w:val="36"/>
          <w:szCs w:val="36"/>
        </w:rPr>
      </w:pPr>
      <w:r>
        <w:rPr>
          <w:rFonts w:hint="eastAsia" w:ascii="方正小标宋简体" w:hAnsi="方正小标宋简体" w:eastAsia="方正小标宋简体" w:cs="方正小标宋简体"/>
          <w:sz w:val="36"/>
          <w:szCs w:val="36"/>
        </w:rPr>
        <w:t>陕西省国际信托股份有限公司</w:t>
      </w:r>
    </w:p>
    <w:p>
      <w:pPr>
        <w:widowControl w:val="0"/>
        <w:spacing w:before="156" w:beforeLines="50" w:after="156" w:afterLines="50" w:line="40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投资者关系活动记录表</w:t>
      </w:r>
    </w:p>
    <w:p>
      <w:pPr>
        <w:widowControl w:val="0"/>
        <w:spacing w:before="156" w:beforeLines="50" w:after="156" w:afterLines="50" w:line="400" w:lineRule="exact"/>
        <w:ind w:firstLine="0" w:firstLineChars="0"/>
        <w:jc w:val="center"/>
        <w:rPr>
          <w:rFonts w:hint="eastAsia" w:ascii="方正小标宋简体" w:hAnsi="方正小标宋简体" w:eastAsia="方正小标宋简体" w:cs="方正小标宋简体"/>
          <w:sz w:val="36"/>
          <w:szCs w:val="36"/>
        </w:rPr>
      </w:pPr>
    </w:p>
    <w:p>
      <w:pPr>
        <w:ind w:firstLine="420"/>
        <w:rPr>
          <w:rFonts w:ascii="宋体" w:hAnsi="宋体"/>
        </w:rPr>
      </w:pPr>
      <w:r>
        <w:rPr>
          <w:rFonts w:hint="eastAsia"/>
        </w:rPr>
        <w:t xml:space="preserve">                                                     </w:t>
      </w:r>
      <w:r>
        <w:rPr>
          <w:rFonts w:hint="eastAsia"/>
          <w:lang w:val="en-US" w:eastAsia="zh-CN"/>
        </w:rPr>
        <w:t xml:space="preserve">  </w:t>
      </w:r>
      <w:r>
        <w:rPr>
          <w:rFonts w:hint="eastAsia" w:ascii="宋体" w:hAnsi="宋体"/>
        </w:rPr>
        <w:t>编号：202</w:t>
      </w:r>
      <w:r>
        <w:rPr>
          <w:rFonts w:ascii="宋体" w:hAnsi="宋体"/>
        </w:rPr>
        <w:t>4</w:t>
      </w:r>
      <w:r>
        <w:rPr>
          <w:rFonts w:hint="eastAsia" w:ascii="宋体" w:hAnsi="宋体"/>
        </w:rPr>
        <w:t>-</w:t>
      </w:r>
      <w:r>
        <w:rPr>
          <w:rFonts w:ascii="宋体" w:hAnsi="宋体"/>
        </w:rPr>
        <w:t>001</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shd w:val="clear" w:color="auto" w:fill="auto"/>
            <w:vAlign w:val="center"/>
          </w:tcPr>
          <w:p>
            <w:pPr>
              <w:spacing w:line="240" w:lineRule="auto"/>
              <w:ind w:firstLine="0" w:firstLineChars="0"/>
              <w:jc w:val="center"/>
            </w:pPr>
            <w:r>
              <w:rPr>
                <w:rFonts w:hint="eastAsia"/>
                <w:b/>
                <w:bCs/>
                <w:sz w:val="24"/>
                <w:szCs w:val="22"/>
              </w:rPr>
              <w:t>投资者关系活动类别</w:t>
            </w:r>
          </w:p>
        </w:tc>
        <w:tc>
          <w:tcPr>
            <w:tcW w:w="4170" w:type="pct"/>
            <w:shd w:val="clear" w:color="auto" w:fill="auto"/>
          </w:tcPr>
          <w:p>
            <w:pPr>
              <w:ind w:firstLine="420"/>
              <w:rPr>
                <w:bCs/>
                <w:iCs/>
                <w:sz w:val="24"/>
                <w:szCs w:val="24"/>
              </w:rPr>
            </w:pPr>
            <w:r>
              <w:rPr>
                <w:rFonts w:hint="eastAsia"/>
                <w:bCs/>
                <w:iCs/>
                <w:sz w:val="24"/>
                <w:szCs w:val="24"/>
              </w:rPr>
              <w:t>□</w:t>
            </w:r>
            <w:r>
              <w:rPr>
                <w:rFonts w:hint="eastAsia"/>
                <w:sz w:val="24"/>
                <w:szCs w:val="24"/>
              </w:rPr>
              <w:t xml:space="preserve">特定对象调研        </w:t>
            </w:r>
            <w:r>
              <w:rPr>
                <w:rFonts w:hint="eastAsia"/>
                <w:bCs/>
                <w:iCs/>
                <w:sz w:val="24"/>
                <w:szCs w:val="24"/>
              </w:rPr>
              <w:t>□</w:t>
            </w:r>
            <w:r>
              <w:rPr>
                <w:rFonts w:hint="eastAsia"/>
                <w:sz w:val="24"/>
                <w:szCs w:val="24"/>
              </w:rPr>
              <w:t>分析师会议</w:t>
            </w:r>
          </w:p>
          <w:p>
            <w:pPr>
              <w:ind w:firstLine="420"/>
              <w:rPr>
                <w:bCs/>
                <w:iCs/>
                <w:sz w:val="24"/>
                <w:szCs w:val="24"/>
              </w:rPr>
            </w:pPr>
            <w:r>
              <w:rPr>
                <w:rFonts w:hint="eastAsia"/>
                <w:bCs/>
                <w:iCs/>
                <w:sz w:val="24"/>
                <w:szCs w:val="24"/>
              </w:rPr>
              <w:t>□</w:t>
            </w:r>
            <w:r>
              <w:rPr>
                <w:rFonts w:hint="eastAsia"/>
                <w:sz w:val="24"/>
                <w:szCs w:val="24"/>
              </w:rPr>
              <w:t xml:space="preserve">媒体采访            </w:t>
            </w:r>
            <w:r>
              <w:rPr>
                <w:rFonts w:hint="eastAsia"/>
                <w:bCs/>
                <w:iCs/>
                <w:sz w:val="24"/>
                <w:szCs w:val="24"/>
                <w:lang w:eastAsia="zh-CN"/>
              </w:rPr>
              <w:t>☑</w:t>
            </w:r>
            <w:r>
              <w:rPr>
                <w:rFonts w:hint="eastAsia"/>
                <w:sz w:val="24"/>
                <w:szCs w:val="24"/>
              </w:rPr>
              <w:t>业绩说明会</w:t>
            </w:r>
          </w:p>
          <w:p>
            <w:pPr>
              <w:ind w:firstLine="420"/>
              <w:rPr>
                <w:bCs/>
                <w:iCs/>
                <w:sz w:val="24"/>
                <w:szCs w:val="24"/>
              </w:rPr>
            </w:pPr>
            <w:r>
              <w:rPr>
                <w:rFonts w:hint="eastAsia"/>
                <w:bCs/>
                <w:iCs/>
                <w:sz w:val="24"/>
                <w:szCs w:val="24"/>
              </w:rPr>
              <w:t>□</w:t>
            </w:r>
            <w:r>
              <w:rPr>
                <w:rFonts w:hint="eastAsia"/>
                <w:sz w:val="24"/>
                <w:szCs w:val="24"/>
              </w:rPr>
              <w:t xml:space="preserve">新闻发布会          </w:t>
            </w:r>
            <w:r>
              <w:rPr>
                <w:rFonts w:hint="eastAsia" w:ascii="Segoe UI Symbol" w:hAnsi="Segoe UI Symbol" w:cs="Segoe UI Symbol"/>
                <w:bCs/>
                <w:iCs/>
                <w:sz w:val="24"/>
                <w:szCs w:val="24"/>
                <w:lang w:eastAsia="zh-CN"/>
              </w:rPr>
              <w:t>□</w:t>
            </w:r>
            <w:r>
              <w:rPr>
                <w:rFonts w:hint="eastAsia"/>
                <w:sz w:val="24"/>
                <w:szCs w:val="24"/>
              </w:rPr>
              <w:t>路演活动</w:t>
            </w:r>
          </w:p>
          <w:p>
            <w:pPr>
              <w:ind w:firstLine="420"/>
              <w:rPr>
                <w:bCs/>
                <w:iCs/>
                <w:sz w:val="24"/>
                <w:szCs w:val="24"/>
              </w:rPr>
            </w:pPr>
            <w:r>
              <w:rPr>
                <w:rFonts w:hint="eastAsia"/>
                <w:bCs/>
                <w:iCs/>
                <w:sz w:val="24"/>
                <w:szCs w:val="24"/>
              </w:rPr>
              <w:t>□</w:t>
            </w:r>
            <w:r>
              <w:rPr>
                <w:rFonts w:hint="eastAsia"/>
                <w:sz w:val="24"/>
                <w:szCs w:val="24"/>
              </w:rPr>
              <w:t>现场参观</w:t>
            </w:r>
            <w:r>
              <w:rPr>
                <w:rFonts w:hint="eastAsia"/>
                <w:bCs/>
                <w:iCs/>
                <w:sz w:val="24"/>
                <w:szCs w:val="24"/>
              </w:rPr>
              <w:tab/>
            </w:r>
          </w:p>
          <w:p>
            <w:pPr>
              <w:ind w:firstLine="420"/>
              <w:rPr>
                <w:bCs/>
                <w:iCs/>
              </w:rPr>
            </w:pPr>
            <w:r>
              <w:rPr>
                <w:rFonts w:hint="eastAsia"/>
                <w:bCs/>
                <w:iCs/>
                <w:sz w:val="24"/>
                <w:szCs w:val="24"/>
              </w:rPr>
              <w:t>□</w:t>
            </w:r>
            <w:r>
              <w:rPr>
                <w:rFonts w:hint="eastAsia"/>
                <w:sz w:val="24"/>
                <w:szCs w:val="24"/>
              </w:rPr>
              <w:t>其他 （请文字说明其他活动内容）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shd w:val="clear" w:color="auto" w:fill="auto"/>
            <w:vAlign w:val="center"/>
          </w:tcPr>
          <w:p>
            <w:pPr>
              <w:spacing w:line="240" w:lineRule="auto"/>
              <w:ind w:firstLine="0" w:firstLineChars="0"/>
              <w:jc w:val="center"/>
            </w:pPr>
            <w:r>
              <w:rPr>
                <w:rFonts w:hint="eastAsia"/>
                <w:b/>
                <w:bCs/>
                <w:sz w:val="24"/>
                <w:szCs w:val="22"/>
              </w:rPr>
              <w:t>参与单位名称及人员姓名</w:t>
            </w:r>
          </w:p>
        </w:tc>
        <w:tc>
          <w:tcPr>
            <w:tcW w:w="4170" w:type="pct"/>
            <w:shd w:val="clear" w:color="auto" w:fill="auto"/>
            <w:vAlign w:val="center"/>
          </w:tcPr>
          <w:p>
            <w:pPr>
              <w:spacing w:line="276" w:lineRule="auto"/>
              <w:ind w:left="0" w:leftChars="0" w:firstLine="0" w:firstLineChars="0"/>
              <w:jc w:val="center"/>
            </w:pPr>
            <w:r>
              <w:rPr>
                <w:rFonts w:hint="default" w:ascii="Times New Roman" w:hAnsi="Times New Roman" w:eastAsia="sans-serif" w:cs="Times New Roman"/>
                <w:i w:val="0"/>
                <w:iCs w:val="0"/>
                <w:caps w:val="0"/>
                <w:spacing w:val="0"/>
                <w:sz w:val="24"/>
                <w:szCs w:val="24"/>
                <w:shd w:val="clear" w:fill="FFFFFF"/>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29" w:type="pct"/>
            <w:shd w:val="clear" w:color="auto" w:fill="auto"/>
            <w:vAlign w:val="center"/>
          </w:tcPr>
          <w:p>
            <w:pPr>
              <w:spacing w:line="240" w:lineRule="auto"/>
              <w:ind w:firstLine="0" w:firstLineChars="0"/>
              <w:jc w:val="center"/>
              <w:rPr>
                <w:b/>
                <w:bCs/>
                <w:sz w:val="24"/>
                <w:szCs w:val="22"/>
              </w:rPr>
            </w:pPr>
            <w:r>
              <w:rPr>
                <w:rFonts w:hint="eastAsia"/>
                <w:b/>
                <w:bCs/>
                <w:sz w:val="24"/>
                <w:szCs w:val="22"/>
              </w:rPr>
              <w:t>时间</w:t>
            </w:r>
          </w:p>
        </w:tc>
        <w:tc>
          <w:tcPr>
            <w:tcW w:w="4170" w:type="pct"/>
            <w:shd w:val="clear" w:color="auto" w:fill="auto"/>
            <w:vAlign w:val="center"/>
          </w:tcPr>
          <w:p>
            <w:pPr>
              <w:ind w:left="0" w:leftChars="0" w:firstLine="0" w:firstLineChars="0"/>
              <w:jc w:val="center"/>
              <w:rPr>
                <w:bCs/>
                <w:iCs/>
              </w:rPr>
            </w:pPr>
            <w:r>
              <w:rPr>
                <w:rFonts w:hint="default" w:ascii="Times New Roman" w:hAnsi="Times New Roman" w:cs="Times New Roman" w:eastAsiaTheme="minorEastAsia"/>
                <w:sz w:val="24"/>
                <w:szCs w:val="24"/>
                <w:lang w:val="en-US" w:eastAsia="zh-CN"/>
              </w:rPr>
              <w:t>2024年</w:t>
            </w:r>
            <w:r>
              <w:rPr>
                <w:rFonts w:hint="eastAsia" w:ascii="Times New Roman" w:hAnsi="Times New Roman" w:cs="Times New Roman"/>
                <w:sz w:val="24"/>
                <w:szCs w:val="24"/>
                <w:lang w:val="en-US" w:eastAsia="zh-CN"/>
              </w:rPr>
              <w:t>4</w:t>
            </w:r>
            <w:r>
              <w:rPr>
                <w:rFonts w:hint="default" w:ascii="Times New Roman" w:hAnsi="Times New Roman" w:cs="Times New Roman" w:eastAsiaTheme="minorEastAsia"/>
                <w:sz w:val="24"/>
                <w:szCs w:val="24"/>
                <w:lang w:val="en-US" w:eastAsia="zh-CN"/>
              </w:rPr>
              <w:t>月</w:t>
            </w:r>
            <w:r>
              <w:rPr>
                <w:rFonts w:hint="eastAsia" w:ascii="Times New Roman" w:hAnsi="Times New Roman" w:cs="Times New Roman"/>
                <w:sz w:val="24"/>
                <w:szCs w:val="24"/>
                <w:lang w:val="en-US" w:eastAsia="zh-CN"/>
              </w:rPr>
              <w:t>3</w:t>
            </w:r>
            <w:r>
              <w:rPr>
                <w:rFonts w:hint="default" w:ascii="Times New Roman" w:hAnsi="Times New Roman" w:cs="Times New Roman" w:eastAsiaTheme="minorEastAsia"/>
                <w:sz w:val="24"/>
                <w:szCs w:val="24"/>
                <w:lang w:val="en-US" w:eastAsia="zh-CN"/>
              </w:rPr>
              <w:t>日</w:t>
            </w:r>
            <w:r>
              <w:rPr>
                <w:rFonts w:hint="default" w:ascii="Times New Roman" w:hAnsi="Times New Roman" w:eastAsia="sans-serif" w:cs="Times New Roman"/>
                <w:i w:val="0"/>
                <w:iCs w:val="0"/>
                <w:caps w:val="0"/>
                <w:spacing w:val="0"/>
                <w:sz w:val="24"/>
                <w:szCs w:val="24"/>
                <w:shd w:val="clear" w:fill="FFFFFF"/>
              </w:rPr>
              <w:t>（星期</w:t>
            </w:r>
            <w:r>
              <w:rPr>
                <w:rFonts w:hint="eastAsia" w:ascii="Times New Roman" w:hAnsi="Times New Roman" w:eastAsia="宋体" w:cs="Times New Roman"/>
                <w:i w:val="0"/>
                <w:iCs w:val="0"/>
                <w:caps w:val="0"/>
                <w:spacing w:val="0"/>
                <w:sz w:val="24"/>
                <w:szCs w:val="24"/>
                <w:shd w:val="clear" w:fill="FFFFFF"/>
                <w:lang w:val="en-US" w:eastAsia="zh-CN"/>
              </w:rPr>
              <w:t>三</w:t>
            </w:r>
            <w:r>
              <w:rPr>
                <w:rFonts w:hint="default" w:ascii="Times New Roman" w:hAnsi="Times New Roman" w:eastAsia="sans-serif" w:cs="Times New Roman"/>
                <w:i w:val="0"/>
                <w:iCs w:val="0"/>
                <w:caps w:val="0"/>
                <w:spacing w:val="0"/>
                <w:sz w:val="24"/>
                <w:szCs w:val="24"/>
                <w:shd w:val="clear" w:fill="FFFFFF"/>
              </w:rPr>
              <w:t>）1</w:t>
            </w:r>
            <w:r>
              <w:rPr>
                <w:rFonts w:hint="eastAsia" w:ascii="Times New Roman" w:hAnsi="Times New Roman" w:eastAsia="宋体" w:cs="Times New Roman"/>
                <w:i w:val="0"/>
                <w:iCs w:val="0"/>
                <w:caps w:val="0"/>
                <w:spacing w:val="0"/>
                <w:sz w:val="24"/>
                <w:szCs w:val="24"/>
                <w:shd w:val="clear" w:fill="FFFFFF"/>
                <w:lang w:val="en-US" w:eastAsia="zh-CN"/>
              </w:rPr>
              <w:t>5</w:t>
            </w:r>
            <w:r>
              <w:rPr>
                <w:rFonts w:hint="default" w:ascii="Times New Roman" w:hAnsi="Times New Roman" w:eastAsia="sans-serif" w:cs="Times New Roman"/>
                <w:i w:val="0"/>
                <w:iCs w:val="0"/>
                <w:caps w:val="0"/>
                <w:spacing w:val="0"/>
                <w:sz w:val="24"/>
                <w:szCs w:val="24"/>
                <w:shd w:val="clear" w:fill="FFFFFF"/>
              </w:rPr>
              <w:t>:</w:t>
            </w:r>
            <w:r>
              <w:rPr>
                <w:rFonts w:hint="eastAsia" w:ascii="Times New Roman" w:hAnsi="Times New Roman" w:eastAsia="宋体" w:cs="Times New Roman"/>
                <w:i w:val="0"/>
                <w:iCs w:val="0"/>
                <w:caps w:val="0"/>
                <w:spacing w:val="0"/>
                <w:sz w:val="24"/>
                <w:szCs w:val="24"/>
                <w:shd w:val="clear" w:fill="FFFFFF"/>
                <w:lang w:val="en-US" w:eastAsia="zh-CN"/>
              </w:rPr>
              <w:t>0</w:t>
            </w:r>
            <w:r>
              <w:rPr>
                <w:rFonts w:hint="default" w:ascii="Times New Roman" w:hAnsi="Times New Roman" w:eastAsia="sans-serif" w:cs="Times New Roman"/>
                <w:i w:val="0"/>
                <w:iCs w:val="0"/>
                <w:caps w:val="0"/>
                <w:spacing w:val="0"/>
                <w:sz w:val="24"/>
                <w:szCs w:val="24"/>
                <w:shd w:val="clear" w:fill="FFFFFF"/>
              </w:rPr>
              <w:t>0-17:</w:t>
            </w:r>
            <w:r>
              <w:rPr>
                <w:rFonts w:hint="eastAsia" w:ascii="Times New Roman" w:hAnsi="Times New Roman" w:eastAsia="宋体" w:cs="Times New Roman"/>
                <w:i w:val="0"/>
                <w:iCs w:val="0"/>
                <w:caps w:val="0"/>
                <w:spacing w:val="0"/>
                <w:sz w:val="24"/>
                <w:szCs w:val="24"/>
                <w:shd w:val="clear" w:fill="FFFFFF"/>
                <w:lang w:val="en-US" w:eastAsia="zh-CN"/>
              </w:rPr>
              <w:t>0</w:t>
            </w:r>
            <w:r>
              <w:rPr>
                <w:rFonts w:hint="default" w:ascii="Times New Roman" w:hAnsi="Times New Roman" w:eastAsia="sans-serif" w:cs="Times New Roman"/>
                <w:i w:val="0"/>
                <w:iCs w:val="0"/>
                <w:caps w:val="0"/>
                <w:spacing w:val="0"/>
                <w:sz w:val="24"/>
                <w:szCs w:val="24"/>
                <w:shd w:val="clear"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9" w:type="pct"/>
            <w:shd w:val="clear" w:color="auto" w:fill="auto"/>
            <w:vAlign w:val="center"/>
          </w:tcPr>
          <w:p>
            <w:pPr>
              <w:spacing w:line="240" w:lineRule="auto"/>
              <w:ind w:firstLine="0" w:firstLineChars="0"/>
              <w:jc w:val="center"/>
              <w:rPr>
                <w:b/>
                <w:bCs/>
                <w:sz w:val="24"/>
                <w:szCs w:val="22"/>
              </w:rPr>
            </w:pPr>
            <w:r>
              <w:rPr>
                <w:rFonts w:hint="eastAsia"/>
                <w:b/>
                <w:bCs/>
                <w:sz w:val="24"/>
                <w:szCs w:val="22"/>
              </w:rPr>
              <w:t>地点</w:t>
            </w:r>
          </w:p>
        </w:tc>
        <w:tc>
          <w:tcPr>
            <w:tcW w:w="4170" w:type="pct"/>
            <w:shd w:val="clear" w:color="auto" w:fill="auto"/>
            <w:vAlign w:val="center"/>
          </w:tcPr>
          <w:p>
            <w:pPr>
              <w:ind w:firstLine="420"/>
              <w:rPr>
                <w:rFonts w:hint="eastAsia" w:eastAsia="宋体"/>
                <w:lang w:eastAsia="zh-CN"/>
              </w:rPr>
            </w:pPr>
            <w:r>
              <w:rPr>
                <w:rFonts w:hint="default" w:ascii="Times New Roman" w:hAnsi="Times New Roman" w:eastAsia="sans-serif" w:cs="Times New Roman"/>
                <w:i w:val="0"/>
                <w:iCs w:val="0"/>
                <w:caps w:val="0"/>
                <w:spacing w:val="0"/>
                <w:sz w:val="24"/>
                <w:szCs w:val="24"/>
                <w:shd w:val="clear" w:fill="FFFFFF"/>
              </w:rPr>
              <w:t>公司通过</w:t>
            </w:r>
            <w:r>
              <w:rPr>
                <w:rFonts w:hint="default" w:ascii="Times New Roman" w:hAnsi="Times New Roman" w:eastAsia="sans-serif" w:cs="Times New Roman"/>
                <w:i w:val="0"/>
                <w:iCs w:val="0"/>
                <w:caps w:val="0"/>
                <w:spacing w:val="0"/>
                <w:sz w:val="24"/>
                <w:szCs w:val="24"/>
                <w:shd w:val="clear" w:fill="FFFFFF"/>
                <w:lang w:val="en-US" w:eastAsia="zh-CN"/>
              </w:rPr>
              <w:t>全景网“投资者关系互动平台”（https://ir.p5w.net）采用网络远程</w:t>
            </w:r>
            <w:r>
              <w:rPr>
                <w:rFonts w:hint="eastAsia" w:ascii="Times New Roman" w:hAnsi="Times New Roman" w:eastAsia="sans-serif" w:cs="Times New Roman"/>
                <w:i w:val="0"/>
                <w:iCs w:val="0"/>
                <w:caps w:val="0"/>
                <w:spacing w:val="0"/>
                <w:sz w:val="24"/>
                <w:szCs w:val="24"/>
                <w:shd w:val="clear" w:fill="FFFFFF"/>
                <w:lang w:val="en-US" w:eastAsia="zh-CN"/>
              </w:rPr>
              <w:t>互动</w:t>
            </w:r>
            <w:r>
              <w:rPr>
                <w:rFonts w:hint="default" w:ascii="Times New Roman" w:hAnsi="Times New Roman" w:eastAsia="sans-serif" w:cs="Times New Roman"/>
                <w:i w:val="0"/>
                <w:iCs w:val="0"/>
                <w:caps w:val="0"/>
                <w:spacing w:val="0"/>
                <w:sz w:val="24"/>
                <w:szCs w:val="24"/>
                <w:shd w:val="clear" w:fill="FFFFFF"/>
                <w:lang w:val="en-US" w:eastAsia="zh-CN"/>
              </w:rPr>
              <w:t>的方式</w:t>
            </w:r>
            <w:r>
              <w:rPr>
                <w:rFonts w:hint="default" w:ascii="Times New Roman" w:hAnsi="Times New Roman" w:eastAsia="sans-serif" w:cs="Times New Roman"/>
                <w:i w:val="0"/>
                <w:iCs w:val="0"/>
                <w:caps w:val="0"/>
                <w:spacing w:val="0"/>
                <w:sz w:val="24"/>
                <w:szCs w:val="24"/>
                <w:shd w:val="clear" w:fill="FFFFFF"/>
              </w:rPr>
              <w:t>召开</w:t>
            </w:r>
            <w:r>
              <w:rPr>
                <w:rFonts w:hint="eastAsia" w:ascii="Times New Roman" w:hAnsi="Times New Roman" w:cs="Times New Roman"/>
                <w:i w:val="0"/>
                <w:iCs w:val="0"/>
                <w:caps w:val="0"/>
                <w:spacing w:val="0"/>
                <w:sz w:val="24"/>
                <w:szCs w:val="24"/>
                <w:shd w:val="clear" w:fill="FFFFFF"/>
                <w:lang w:val="en-US" w:eastAsia="zh-CN"/>
              </w:rPr>
              <w:t>本次</w:t>
            </w:r>
            <w:r>
              <w:rPr>
                <w:rFonts w:hint="default" w:ascii="Times New Roman" w:hAnsi="Times New Roman" w:eastAsia="sans-serif" w:cs="Times New Roman"/>
                <w:i w:val="0"/>
                <w:iCs w:val="0"/>
                <w:caps w:val="0"/>
                <w:spacing w:val="0"/>
                <w:sz w:val="24"/>
                <w:szCs w:val="24"/>
                <w:shd w:val="clear" w:fill="FFFFFF"/>
              </w:rPr>
              <w:t>业绩说明会</w:t>
            </w:r>
            <w:r>
              <w:rPr>
                <w:rFonts w:hint="eastAsia" w:ascii="Times New Roman" w:hAnsi="Times New Roman" w:cs="Times New Roman"/>
                <w:i w:val="0"/>
                <w:iCs w:val="0"/>
                <w:caps w:val="0"/>
                <w:spacing w:val="0"/>
                <w:sz w:val="24"/>
                <w:szCs w:val="24"/>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829" w:type="pct"/>
            <w:shd w:val="clear" w:color="auto" w:fill="auto"/>
            <w:vAlign w:val="center"/>
          </w:tcPr>
          <w:p>
            <w:pPr>
              <w:spacing w:line="240" w:lineRule="auto"/>
              <w:ind w:firstLine="0" w:firstLineChars="0"/>
              <w:jc w:val="center"/>
              <w:rPr>
                <w:b/>
                <w:bCs/>
                <w:sz w:val="24"/>
                <w:szCs w:val="22"/>
              </w:rPr>
            </w:pPr>
            <w:r>
              <w:rPr>
                <w:rFonts w:hint="eastAsia"/>
                <w:b/>
                <w:bCs/>
                <w:sz w:val="24"/>
                <w:szCs w:val="22"/>
              </w:rPr>
              <w:t>上市公司接待人员姓名</w:t>
            </w:r>
          </w:p>
        </w:tc>
        <w:tc>
          <w:tcPr>
            <w:tcW w:w="4170" w:type="pct"/>
            <w:shd w:val="clear" w:color="auto" w:fill="auto"/>
            <w:vAlign w:val="center"/>
          </w:tcPr>
          <w:p>
            <w:pPr>
              <w:ind w:left="0" w:leftChars="0" w:firstLine="0" w:firstLineChars="0"/>
              <w:rPr>
                <w:rFonts w:hint="default" w:ascii="Times New Roman" w:hAnsi="Times New Roman" w:eastAsia="sans-serif" w:cs="Times New Roman"/>
                <w:i w:val="0"/>
                <w:iCs w:val="0"/>
                <w:caps w:val="0"/>
                <w:spacing w:val="0"/>
                <w:sz w:val="24"/>
                <w:szCs w:val="24"/>
                <w:shd w:val="clear" w:fill="FFFFFF"/>
                <w:lang w:val="en-US" w:eastAsia="zh-CN"/>
              </w:rPr>
            </w:pPr>
            <w:r>
              <w:rPr>
                <w:rFonts w:hint="default" w:ascii="Times New Roman" w:hAnsi="Times New Roman" w:eastAsia="sans-serif" w:cs="Times New Roman"/>
                <w:i w:val="0"/>
                <w:iCs w:val="0"/>
                <w:caps w:val="0"/>
                <w:spacing w:val="0"/>
                <w:sz w:val="24"/>
                <w:szCs w:val="24"/>
                <w:shd w:val="clear" w:fill="FFFFFF"/>
                <w:lang w:val="en-US" w:eastAsia="zh-CN"/>
              </w:rPr>
              <w:t>党委书记、董事长</w:t>
            </w:r>
            <w:r>
              <w:rPr>
                <w:rFonts w:hint="eastAsia" w:ascii="Times New Roman" w:hAnsi="Times New Roman" w:eastAsia="sans-serif" w:cs="Times New Roman"/>
                <w:i w:val="0"/>
                <w:iCs w:val="0"/>
                <w:caps w:val="0"/>
                <w:spacing w:val="0"/>
                <w:sz w:val="24"/>
                <w:szCs w:val="24"/>
                <w:shd w:val="clear" w:fill="FFFFFF"/>
                <w:lang w:val="en-US" w:eastAsia="zh-CN"/>
              </w:rPr>
              <w:t>：</w:t>
            </w:r>
            <w:r>
              <w:rPr>
                <w:rFonts w:hint="default" w:ascii="Times New Roman" w:hAnsi="Times New Roman" w:eastAsia="sans-serif" w:cs="Times New Roman"/>
                <w:i w:val="0"/>
                <w:iCs w:val="0"/>
                <w:caps w:val="0"/>
                <w:spacing w:val="0"/>
                <w:sz w:val="24"/>
                <w:szCs w:val="24"/>
                <w:shd w:val="clear" w:fill="FFFFFF"/>
                <w:lang w:val="en-US" w:eastAsia="zh-CN"/>
              </w:rPr>
              <w:t>姚卫东</w:t>
            </w:r>
          </w:p>
          <w:p>
            <w:pPr>
              <w:ind w:left="0" w:leftChars="0" w:firstLine="0" w:firstLineChars="0"/>
              <w:rPr>
                <w:rFonts w:hint="default" w:ascii="Times New Roman" w:hAnsi="Times New Roman" w:eastAsia="sans-serif" w:cs="Times New Roman"/>
                <w:i w:val="0"/>
                <w:iCs w:val="0"/>
                <w:caps w:val="0"/>
                <w:spacing w:val="0"/>
                <w:sz w:val="24"/>
                <w:szCs w:val="24"/>
                <w:shd w:val="clear" w:fill="FFFFFF"/>
                <w:lang w:val="en-US" w:eastAsia="zh-CN"/>
              </w:rPr>
            </w:pPr>
            <w:r>
              <w:rPr>
                <w:rFonts w:hint="default" w:ascii="Times New Roman" w:hAnsi="Times New Roman" w:eastAsia="sans-serif" w:cs="Times New Roman"/>
                <w:i w:val="0"/>
                <w:iCs w:val="0"/>
                <w:caps w:val="0"/>
                <w:spacing w:val="0"/>
                <w:sz w:val="24"/>
                <w:szCs w:val="24"/>
                <w:shd w:val="clear" w:fill="FFFFFF"/>
                <w:lang w:val="en-US" w:eastAsia="zh-CN"/>
              </w:rPr>
              <w:t>党委副书记、董事、总裁</w:t>
            </w:r>
            <w:r>
              <w:rPr>
                <w:rFonts w:hint="eastAsia" w:ascii="Times New Roman" w:hAnsi="Times New Roman" w:eastAsia="sans-serif" w:cs="Times New Roman"/>
                <w:i w:val="0"/>
                <w:iCs w:val="0"/>
                <w:caps w:val="0"/>
                <w:spacing w:val="0"/>
                <w:sz w:val="24"/>
                <w:szCs w:val="24"/>
                <w:shd w:val="clear" w:fill="FFFFFF"/>
                <w:lang w:val="en-US" w:eastAsia="zh-CN"/>
              </w:rPr>
              <w:t>：</w:t>
            </w:r>
            <w:r>
              <w:rPr>
                <w:rFonts w:hint="default" w:ascii="Times New Roman" w:hAnsi="Times New Roman" w:eastAsia="sans-serif" w:cs="Times New Roman"/>
                <w:i w:val="0"/>
                <w:iCs w:val="0"/>
                <w:caps w:val="0"/>
                <w:spacing w:val="0"/>
                <w:sz w:val="24"/>
                <w:szCs w:val="24"/>
                <w:shd w:val="clear" w:fill="FFFFFF"/>
                <w:lang w:val="en-US" w:eastAsia="zh-CN"/>
              </w:rPr>
              <w:t>解志炯</w:t>
            </w:r>
          </w:p>
          <w:p>
            <w:pPr>
              <w:ind w:left="0" w:leftChars="0" w:firstLine="0" w:firstLineChars="0"/>
              <w:rPr>
                <w:rFonts w:hint="default" w:ascii="Times New Roman" w:hAnsi="Times New Roman" w:eastAsia="sans-serif" w:cs="Times New Roman"/>
                <w:i w:val="0"/>
                <w:iCs w:val="0"/>
                <w:caps w:val="0"/>
                <w:spacing w:val="0"/>
                <w:sz w:val="24"/>
                <w:szCs w:val="24"/>
                <w:shd w:val="clear" w:fill="FFFFFF"/>
                <w:lang w:val="en-US" w:eastAsia="zh-CN"/>
              </w:rPr>
            </w:pPr>
            <w:r>
              <w:rPr>
                <w:rFonts w:hint="default" w:ascii="Times New Roman" w:hAnsi="Times New Roman" w:eastAsia="sans-serif" w:cs="Times New Roman"/>
                <w:i w:val="0"/>
                <w:iCs w:val="0"/>
                <w:caps w:val="0"/>
                <w:spacing w:val="0"/>
                <w:sz w:val="24"/>
                <w:szCs w:val="24"/>
                <w:shd w:val="clear" w:fill="FFFFFF"/>
                <w:lang w:val="en-US" w:eastAsia="zh-CN"/>
              </w:rPr>
              <w:t>党委委员、总会计师</w:t>
            </w:r>
            <w:r>
              <w:rPr>
                <w:rFonts w:hint="eastAsia" w:ascii="Times New Roman" w:hAnsi="Times New Roman" w:eastAsia="sans-serif" w:cs="Times New Roman"/>
                <w:i w:val="0"/>
                <w:iCs w:val="0"/>
                <w:caps w:val="0"/>
                <w:spacing w:val="0"/>
                <w:sz w:val="24"/>
                <w:szCs w:val="24"/>
                <w:shd w:val="clear" w:fill="FFFFFF"/>
                <w:lang w:val="en-US" w:eastAsia="zh-CN"/>
              </w:rPr>
              <w:t>：</w:t>
            </w:r>
            <w:r>
              <w:rPr>
                <w:rFonts w:hint="default" w:ascii="Times New Roman" w:hAnsi="Times New Roman" w:eastAsia="sans-serif" w:cs="Times New Roman"/>
                <w:i w:val="0"/>
                <w:iCs w:val="0"/>
                <w:caps w:val="0"/>
                <w:spacing w:val="0"/>
                <w:sz w:val="24"/>
                <w:szCs w:val="24"/>
                <w:shd w:val="clear" w:fill="FFFFFF"/>
                <w:lang w:val="en-US" w:eastAsia="zh-CN"/>
              </w:rPr>
              <w:t>贾少龙</w:t>
            </w:r>
          </w:p>
          <w:p>
            <w:pPr>
              <w:ind w:left="0" w:leftChars="0" w:firstLine="0" w:firstLineChars="0"/>
              <w:rPr>
                <w:rFonts w:hint="default" w:ascii="Times New Roman" w:hAnsi="Times New Roman" w:eastAsia="sans-serif" w:cs="Times New Roman"/>
                <w:i w:val="0"/>
                <w:iCs w:val="0"/>
                <w:caps w:val="0"/>
                <w:spacing w:val="0"/>
                <w:sz w:val="24"/>
                <w:szCs w:val="24"/>
                <w:shd w:val="clear" w:fill="FFFFFF"/>
                <w:lang w:val="en-US" w:eastAsia="zh-CN"/>
              </w:rPr>
            </w:pPr>
            <w:r>
              <w:rPr>
                <w:rFonts w:hint="default" w:ascii="Times New Roman" w:hAnsi="Times New Roman" w:eastAsia="sans-serif" w:cs="Times New Roman"/>
                <w:i w:val="0"/>
                <w:iCs w:val="0"/>
                <w:caps w:val="0"/>
                <w:spacing w:val="0"/>
                <w:sz w:val="24"/>
                <w:szCs w:val="24"/>
                <w:shd w:val="clear" w:fill="FFFFFF"/>
                <w:lang w:val="en-US" w:eastAsia="zh-CN"/>
              </w:rPr>
              <w:t>董事会秘书</w:t>
            </w:r>
            <w:r>
              <w:rPr>
                <w:rFonts w:hint="eastAsia" w:ascii="Times New Roman" w:hAnsi="Times New Roman" w:eastAsia="sans-serif" w:cs="Times New Roman"/>
                <w:i w:val="0"/>
                <w:iCs w:val="0"/>
                <w:caps w:val="0"/>
                <w:spacing w:val="0"/>
                <w:sz w:val="24"/>
                <w:szCs w:val="24"/>
                <w:shd w:val="clear" w:fill="FFFFFF"/>
                <w:lang w:val="en-US" w:eastAsia="zh-CN"/>
              </w:rPr>
              <w:t>：</w:t>
            </w:r>
            <w:r>
              <w:rPr>
                <w:rFonts w:hint="default" w:ascii="Times New Roman" w:hAnsi="Times New Roman" w:eastAsia="sans-serif" w:cs="Times New Roman"/>
                <w:i w:val="0"/>
                <w:iCs w:val="0"/>
                <w:caps w:val="0"/>
                <w:spacing w:val="0"/>
                <w:sz w:val="24"/>
                <w:szCs w:val="24"/>
                <w:shd w:val="clear" w:fill="FFFFFF"/>
                <w:lang w:val="en-US" w:eastAsia="zh-CN"/>
              </w:rPr>
              <w:t>王维华  </w:t>
            </w:r>
          </w:p>
          <w:p>
            <w:pPr>
              <w:ind w:left="0" w:leftChars="0" w:firstLine="0" w:firstLineChars="0"/>
              <w:rPr>
                <w:rFonts w:hint="default" w:ascii="Times New Roman" w:hAnsi="Times New Roman" w:eastAsia="sans-serif" w:cs="Times New Roman"/>
                <w:i w:val="0"/>
                <w:iCs w:val="0"/>
                <w:caps w:val="0"/>
                <w:spacing w:val="0"/>
                <w:sz w:val="24"/>
                <w:szCs w:val="24"/>
                <w:shd w:val="clear" w:fill="FFFFFF"/>
                <w:lang w:val="en-US" w:eastAsia="zh-CN"/>
              </w:rPr>
            </w:pPr>
            <w:r>
              <w:rPr>
                <w:rFonts w:hint="default" w:ascii="Times New Roman" w:hAnsi="Times New Roman" w:eastAsia="sans-serif" w:cs="Times New Roman"/>
                <w:i w:val="0"/>
                <w:iCs w:val="0"/>
                <w:caps w:val="0"/>
                <w:spacing w:val="0"/>
                <w:sz w:val="24"/>
                <w:szCs w:val="24"/>
                <w:shd w:val="clear" w:fill="FFFFFF"/>
                <w:lang w:val="en-US" w:eastAsia="zh-CN"/>
              </w:rPr>
              <w:t>独立董事</w:t>
            </w:r>
            <w:r>
              <w:rPr>
                <w:rFonts w:hint="eastAsia" w:ascii="Times New Roman" w:hAnsi="Times New Roman" w:eastAsia="sans-serif" w:cs="Times New Roman"/>
                <w:i w:val="0"/>
                <w:iCs w:val="0"/>
                <w:caps w:val="0"/>
                <w:spacing w:val="0"/>
                <w:sz w:val="24"/>
                <w:szCs w:val="24"/>
                <w:shd w:val="clear" w:fill="FFFFFF"/>
                <w:lang w:val="en-US" w:eastAsia="zh-CN"/>
              </w:rPr>
              <w:t>：</w:t>
            </w:r>
            <w:r>
              <w:rPr>
                <w:rFonts w:hint="default" w:ascii="Times New Roman" w:hAnsi="Times New Roman" w:eastAsia="sans-serif" w:cs="Times New Roman"/>
                <w:i w:val="0"/>
                <w:iCs w:val="0"/>
                <w:caps w:val="0"/>
                <w:spacing w:val="0"/>
                <w:sz w:val="24"/>
                <w:szCs w:val="24"/>
                <w:shd w:val="clear" w:fill="FFFFFF"/>
                <w:lang w:val="en-US" w:eastAsia="zh-CN"/>
              </w:rPr>
              <w:t>徐秉惠  </w:t>
            </w:r>
          </w:p>
          <w:p>
            <w:pPr>
              <w:ind w:left="0" w:leftChars="0" w:firstLine="0" w:firstLineChars="0"/>
              <w:rPr>
                <w:rFonts w:hint="default" w:ascii="微软雅黑" w:hAnsi="微软雅黑" w:eastAsia="微软雅黑" w:cs="微软雅黑"/>
                <w:i w:val="0"/>
                <w:iCs w:val="0"/>
                <w:caps w:val="0"/>
                <w:color w:val="222222"/>
                <w:spacing w:val="0"/>
                <w:sz w:val="21"/>
                <w:szCs w:val="21"/>
                <w:shd w:val="clear" w:fill="F3F3F3"/>
                <w:lang w:val="en-US" w:eastAsia="zh-CN"/>
              </w:rPr>
            </w:pPr>
            <w:r>
              <w:rPr>
                <w:rFonts w:hint="default" w:ascii="Times New Roman" w:hAnsi="Times New Roman" w:eastAsia="sans-serif" w:cs="Times New Roman"/>
                <w:i w:val="0"/>
                <w:iCs w:val="0"/>
                <w:caps w:val="0"/>
                <w:spacing w:val="0"/>
                <w:sz w:val="24"/>
                <w:szCs w:val="24"/>
                <w:shd w:val="clear" w:fill="FFFFFF"/>
                <w:lang w:val="en-US" w:eastAsia="zh-CN"/>
              </w:rPr>
              <w:t>保荐代表人</w:t>
            </w:r>
            <w:r>
              <w:rPr>
                <w:rFonts w:hint="eastAsia" w:ascii="Times New Roman" w:hAnsi="Times New Roman" w:eastAsia="sans-serif" w:cs="Times New Roman"/>
                <w:i w:val="0"/>
                <w:iCs w:val="0"/>
                <w:caps w:val="0"/>
                <w:spacing w:val="0"/>
                <w:sz w:val="24"/>
                <w:szCs w:val="24"/>
                <w:shd w:val="clear" w:fill="FFFFFF"/>
                <w:lang w:val="en-US" w:eastAsia="zh-CN"/>
              </w:rPr>
              <w:t>：</w:t>
            </w:r>
            <w:r>
              <w:rPr>
                <w:rFonts w:hint="default" w:ascii="Times New Roman" w:hAnsi="Times New Roman" w:eastAsia="sans-serif" w:cs="Times New Roman"/>
                <w:i w:val="0"/>
                <w:iCs w:val="0"/>
                <w:caps w:val="0"/>
                <w:spacing w:val="0"/>
                <w:sz w:val="24"/>
                <w:szCs w:val="24"/>
                <w:shd w:val="clear" w:fill="FFFFFF"/>
                <w:lang w:val="en-US" w:eastAsia="zh-CN"/>
              </w:rPr>
              <w:t>彭源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9" w:type="pct"/>
            <w:shd w:val="clear" w:color="auto" w:fill="auto"/>
            <w:vAlign w:val="center"/>
          </w:tcPr>
          <w:p>
            <w:pPr>
              <w:spacing w:line="240" w:lineRule="auto"/>
              <w:ind w:firstLine="0" w:firstLineChars="0"/>
              <w:jc w:val="center"/>
            </w:pPr>
            <w:r>
              <w:rPr>
                <w:rFonts w:hint="eastAsia"/>
                <w:b/>
                <w:bCs/>
                <w:sz w:val="24"/>
                <w:szCs w:val="22"/>
              </w:rPr>
              <w:t>投资者关系活动主要内容介绍</w:t>
            </w:r>
          </w:p>
        </w:tc>
        <w:tc>
          <w:tcPr>
            <w:tcW w:w="4170" w:type="pct"/>
            <w:shd w:val="clear" w:color="auto" w:fill="auto"/>
            <w:vAlign w:val="center"/>
          </w:tcPr>
          <w:p>
            <w:pPr>
              <w:ind w:firstLine="422"/>
              <w:rPr>
                <w:b/>
                <w:bCs/>
              </w:rPr>
            </w:pPr>
            <w:r>
              <w:rPr>
                <w:rFonts w:hint="eastAsia"/>
                <w:b/>
                <w:bCs/>
              </w:rPr>
              <w:t>Q1：我国目前的经济形势下，信托行业前景如何？公司在信托行业中具有哪些优势？</w:t>
            </w:r>
          </w:p>
          <w:p>
            <w:pPr>
              <w:ind w:firstLine="420"/>
              <w:rPr>
                <w:rFonts w:hint="eastAsia"/>
              </w:rPr>
            </w:pPr>
            <w:r>
              <w:rPr>
                <w:rFonts w:hint="eastAsia"/>
                <w:b/>
                <w:bCs/>
              </w:rPr>
              <w:t>A：</w:t>
            </w:r>
            <w:r>
              <w:rPr>
                <w:rFonts w:hint="eastAsia"/>
              </w:rPr>
              <w:t>2023年，我国信托行业正式步入转型发展新阶段。一是新业务分类为行业发展明确方向。《关于规范信托公司信托业务分类的通知》实施以来，明确规范了信托行业的业务类别、定义与边界，为行业指明了本源业务发展方向，也为信托行业与资管行业全面接轨提供了制度依据。二是行业进入动能转换承压期。在行业转型创新大环境下，传统融资类业务被进一步压缩，标品投资、资产服务信托等创新业务前期投入大，盈利模式尚未完全成熟。三是风险逐步出清，行业发展轻装上阵。少数风险隐患突出的信托公司在监管部门与各级政府的指导下实现了风险的有序化解，并随着全面强化机构监管、行为监管、功能监管、穿透式监管、持续监管，信托行业资产质量稳中向优，为转型发展奠定良好基础。</w:t>
            </w:r>
          </w:p>
          <w:p>
            <w:pPr>
              <w:ind w:firstLine="420"/>
            </w:pPr>
            <w:r>
              <w:rPr>
                <w:rFonts w:hint="eastAsia"/>
              </w:rPr>
              <w:t>公司充分挖掘自身资源禀赋，立足陕西辐射全国，持续优化盈利模式、深推改革创新、力促业务转型、夯实管理质效，在信托行业剧烈变革过程中厚植资本实力，稳筑风险防线，公司综合实力稳步提升。截至报告期末，公司注册资本51.14亿元、净资产170.89亿元、营业收入28.13亿元、净利润10.82亿元，逆势再创历史新高，综合实力站稳行业第一梯队。</w:t>
            </w:r>
          </w:p>
          <w:p>
            <w:pPr>
              <w:ind w:firstLine="420"/>
            </w:pPr>
          </w:p>
          <w:p>
            <w:pPr>
              <w:ind w:firstLine="422"/>
              <w:rPr>
                <w:b/>
                <w:bCs/>
              </w:rPr>
            </w:pPr>
            <w:r>
              <w:rPr>
                <w:rFonts w:hint="eastAsia"/>
                <w:b/>
                <w:bCs/>
              </w:rPr>
              <w:t>Q2：公司未来发展战略具体内容是什么？</w:t>
            </w:r>
          </w:p>
          <w:p>
            <w:pPr>
              <w:ind w:firstLine="420"/>
              <w:rPr>
                <w:rFonts w:hint="eastAsia"/>
              </w:rPr>
            </w:pPr>
            <w:r>
              <w:rPr>
                <w:rFonts w:hint="eastAsia"/>
              </w:rPr>
              <w:t>A：公司坚持党的集中统一领导，完整准确全面贯彻新发展理念，坚持服务实体经济高质量发展，坚持稳中求进工作总基调，扎实推进信托转型创新。公司将有力贯彻“三六九”发展战略：聚力打造资源协同、综合服务、聚才发展三大平台；构建融合化、精品化、协同化、智能化、开放化、高质化六大愿景；完成党建引领、战略联动、文化建设、模式重塑、资源整合、全面风控、人才强企、深化改革、品牌建设九大任务。通过“三六九”战略把公司打造成转型动力强劲、资本实力雄厚、业务布局合理、多牌照联动、稳健可持续经营的精品化信托公司。</w:t>
            </w:r>
          </w:p>
          <w:p>
            <w:pPr>
              <w:ind w:firstLine="420"/>
              <w:rPr>
                <w:rFonts w:hint="eastAsia"/>
              </w:rPr>
            </w:pPr>
            <w:r>
              <w:rPr>
                <w:rFonts w:hint="eastAsia"/>
              </w:rPr>
              <w:t>一是着力谋划战略布局。以信托业务新分类等监管要求为导向，加快推进公司战略发展规划的修编和解码。梳理、整合资源优势，提升资产管理信托投研竞争力，全面推进财富管理等资产服务领域的布局力度，聚焦重点发展具有区域特色的公益慈善信托。充分发挥公司研究院作用，建立公司战略规划和市场分析智库，围绕科技金融、绿色金融、普惠金融、养老金融、数字金融五篇大文章谋篇布局。</w:t>
            </w:r>
          </w:p>
          <w:p>
            <w:pPr>
              <w:ind w:firstLine="420"/>
              <w:rPr>
                <w:rFonts w:hint="eastAsia"/>
              </w:rPr>
            </w:pPr>
            <w:r>
              <w:rPr>
                <w:rFonts w:hint="eastAsia"/>
              </w:rPr>
              <w:t>二是全面升级产品体系。牢固树立“服务+”理念，围绕经济社会发展与实体企业的迫切需求大力推动账户管理、预付资金管理、担保品服务、资产证券化、风险处置等创新产品，资产管理业务优选主体确保资产安全，提升标品主动管理能力，在股权投资领域聚焦陕西优势产业培育优质项目，形成固有+信托双轮驱动的发展格局。</w:t>
            </w:r>
          </w:p>
          <w:p>
            <w:pPr>
              <w:ind w:firstLine="420"/>
              <w:rPr>
                <w:rFonts w:hint="eastAsia"/>
              </w:rPr>
            </w:pPr>
            <w:r>
              <w:rPr>
                <w:rFonts w:hint="eastAsia"/>
              </w:rPr>
              <w:t>三是优化财富管理策略。优化产品供给，拓宽同业合作，形成丰富多样的产品供给线，不断加强渠道建设的广度和深度，以多品类一体化配置广泛服务市场需求。立足客户偏好，围绕家族、家庭信托、保险金信托及个人财产权信托等业务，打通财富管理服务信托+资产管理信托的综合金融服务模式。</w:t>
            </w:r>
          </w:p>
          <w:p>
            <w:pPr>
              <w:ind w:firstLine="420"/>
              <w:rPr>
                <w:rFonts w:hint="eastAsia"/>
              </w:rPr>
            </w:pPr>
            <w:r>
              <w:rPr>
                <w:rFonts w:hint="eastAsia"/>
              </w:rPr>
              <w:t>四是激发体制机制活力。坚持人才强企，着力打造高素质专业化团队。研究系统化、精细化考核管理模式，强化绩效考核的指挥棒作用，夯实第二增长曲线的组织基础。推进“大风控”“大运营”管理整合工作，深化全面风险管理，打造高效、专业、安全的运营管理体系，持续强化“三道防线”在风险防范方面的重要作用。</w:t>
            </w:r>
          </w:p>
          <w:p>
            <w:pPr>
              <w:ind w:firstLine="420"/>
            </w:pPr>
            <w:r>
              <w:rPr>
                <w:rFonts w:hint="eastAsia"/>
              </w:rPr>
              <w:t>五是科技赋能转型发展。加强顶层设计，扎实推动公司金融科技生态建设。坚持问题导向，聚焦业务需求，持续推进公司科技信息系统全面优化升级和数据治理系统平台建设，强化系统间的互联互通。针对重点服务信托产品，进一步加强系统优化，提升服务能力和市场竞争力。围绕资产管理业务的主要风险，依托金融科技手段建立事前事中事后的敏态流程管理，实现全覆盖管控。</w:t>
            </w:r>
          </w:p>
          <w:p>
            <w:pPr>
              <w:ind w:firstLine="420"/>
            </w:pPr>
          </w:p>
          <w:p>
            <w:pPr>
              <w:ind w:firstLine="422"/>
              <w:rPr>
                <w:b/>
                <w:bCs/>
              </w:rPr>
            </w:pPr>
            <w:r>
              <w:rPr>
                <w:rFonts w:hint="eastAsia"/>
                <w:b/>
                <w:bCs/>
              </w:rPr>
              <w:t>Q3：陕国投在企业治理方面有何创新和改进?</w:t>
            </w:r>
          </w:p>
          <w:p>
            <w:pPr>
              <w:ind w:firstLine="420"/>
              <w:rPr>
                <w:rFonts w:hint="eastAsia"/>
              </w:rPr>
            </w:pPr>
            <w:r>
              <w:rPr>
                <w:rFonts w:hint="eastAsia"/>
                <w:b/>
                <w:bCs/>
                <w:lang w:bidi="ar"/>
              </w:rPr>
              <w:t>A：</w:t>
            </w:r>
            <w:r>
              <w:rPr>
                <w:rFonts w:hint="eastAsia"/>
              </w:rPr>
              <w:t>2023年公司坚持稳中求进工作总基调，以信托业“三分类”改革为指导，聚焦陕西省“三个年”活动，全面推进重塑再造，高质量发展取得新成效。公司在企业治理方面的创新和改进主要体现在以下几方面：</w:t>
            </w:r>
          </w:p>
          <w:p>
            <w:pPr>
              <w:ind w:firstLine="420"/>
              <w:rPr>
                <w:rFonts w:hint="eastAsia"/>
              </w:rPr>
            </w:pPr>
            <w:r>
              <w:rPr>
                <w:rFonts w:hint="eastAsia"/>
                <w:lang w:val="en-US" w:eastAsia="zh-CN"/>
              </w:rPr>
              <w:t>一是</w:t>
            </w:r>
            <w:r>
              <w:rPr>
                <w:rFonts w:hint="eastAsia"/>
              </w:rPr>
              <w:t>公司治理规范科学。党的领导融入公司治理各环节，确保党委发挥把方向、管大局、保落实的领导作用。“三会一层”高效运作、有效制衡，各类监督有机贯通、相互协调，建立权责明确、管理科学的现代企业制度，投资者关系管理能力显著提升。</w:t>
            </w:r>
          </w:p>
          <w:p>
            <w:pPr>
              <w:ind w:firstLine="420"/>
              <w:rPr>
                <w:rFonts w:hint="eastAsia"/>
              </w:rPr>
            </w:pPr>
            <w:r>
              <w:rPr>
                <w:rFonts w:hint="eastAsia"/>
                <w:lang w:val="en-US" w:eastAsia="zh-CN"/>
              </w:rPr>
              <w:t>二是</w:t>
            </w:r>
            <w:r>
              <w:rPr>
                <w:rFonts w:hint="eastAsia"/>
              </w:rPr>
              <w:t>发展基础扎实牢靠。公司坚持稳中求进的工作总基调，以深化全面风险管理为主线，统筹发展与安全，牢牢守住风险底线，受托管理规模、资产质量、资本实力居行业前列。以中国特色金融文化为引领，党建文化、信托文化、清廉金融文化与企业文化有效贯通，凝聚奋进精神力量。</w:t>
            </w:r>
          </w:p>
          <w:p>
            <w:pPr>
              <w:ind w:firstLine="420"/>
              <w:rPr>
                <w:rFonts w:hint="eastAsia"/>
              </w:rPr>
            </w:pPr>
            <w:r>
              <w:rPr>
                <w:rFonts w:hint="eastAsia"/>
                <w:lang w:val="en-US" w:eastAsia="zh-CN"/>
              </w:rPr>
              <w:t>三是</w:t>
            </w:r>
            <w:r>
              <w:rPr>
                <w:rFonts w:hint="eastAsia"/>
              </w:rPr>
              <w:t>专业能力特色突出。聚焦“三六九”发展战略，充分挖掘自身要素禀赋，立足陕西辐射全国，以服务实体经济为宗旨形成了以固有业务为基础，“资产管理+资产服务”为引领的“一体两翼”发展格局，“星石永久 合同会泽”财富管理体系全面上线，有效满足社会多元化财富管理需要。</w:t>
            </w:r>
          </w:p>
          <w:p>
            <w:pPr>
              <w:ind w:firstLine="420"/>
              <w:rPr>
                <w:rFonts w:hint="eastAsia"/>
              </w:rPr>
            </w:pPr>
            <w:r>
              <w:rPr>
                <w:rFonts w:hint="eastAsia"/>
                <w:lang w:val="en-US" w:eastAsia="zh-CN"/>
              </w:rPr>
              <w:t>四是</w:t>
            </w:r>
            <w:r>
              <w:rPr>
                <w:rFonts w:hint="eastAsia"/>
              </w:rPr>
              <w:t>改革创新永不止步。国企改革三年行动取得重大成效，市场化体制机制改革有效激活发展动能，决策机制灵活高效，重塑再造战略构建第二增长曲线已定势成型。坚持外引与内培相结合，构建政治过硬、能力过硬、作风过硬的金融高素质人才队伍，硕博学历人才占比居上市公司前列。坚持科技为高质量发展蓄势赋能，数字化应用场景覆盖全过程管理，金融服务质效持续提升。</w:t>
            </w:r>
          </w:p>
          <w:p>
            <w:pPr>
              <w:ind w:firstLine="420"/>
            </w:pPr>
          </w:p>
          <w:p>
            <w:pPr>
              <w:ind w:firstLine="422"/>
              <w:rPr>
                <w:rFonts w:hint="eastAsia" w:eastAsia="宋体"/>
                <w:b/>
                <w:bCs/>
                <w:lang w:eastAsia="zh-CN"/>
              </w:rPr>
            </w:pPr>
            <w:r>
              <w:rPr>
                <w:rFonts w:hint="eastAsia"/>
                <w:b/>
                <w:bCs/>
              </w:rPr>
              <w:t>Q</w:t>
            </w:r>
            <w:r>
              <w:rPr>
                <w:b/>
                <w:bCs/>
              </w:rPr>
              <w:t>4</w:t>
            </w:r>
            <w:r>
              <w:rPr>
                <w:rFonts w:hint="eastAsia"/>
                <w:b/>
                <w:bCs/>
              </w:rPr>
              <w:t>：2024年公司是否会加大分红比例和频次，回报投资者</w:t>
            </w:r>
            <w:r>
              <w:rPr>
                <w:rFonts w:hint="eastAsia"/>
                <w:b/>
                <w:bCs/>
                <w:lang w:eastAsia="zh-CN"/>
              </w:rPr>
              <w:t>。</w:t>
            </w:r>
          </w:p>
          <w:p>
            <w:pPr>
              <w:ind w:firstLine="420"/>
              <w:rPr>
                <w:rFonts w:hint="eastAsia"/>
              </w:rPr>
            </w:pPr>
            <w:r>
              <w:rPr>
                <w:rFonts w:hint="eastAsia"/>
                <w:b/>
                <w:bCs/>
                <w:lang w:bidi="ar"/>
              </w:rPr>
              <w:t>A：</w:t>
            </w:r>
            <w:r>
              <w:rPr>
                <w:rFonts w:hint="eastAsia"/>
              </w:rPr>
              <w:t>公司董事会已向股东大会提交《2023年度利润分配预案》《关于2024年中期分红安排的议案》，根据议案内容，我公司拟以2023年末总股本为基数，按每10股派发现金红利0.70元（含税）。同时公司计划于2024年半年度、第三季度结合未分配利润与当期业绩进行分红，以上议案尚需经股东大会审议。后续请您积极关注我公司在指定信披媒体《证券时报》《中国证券报》和巨潮资讯网披露的公告。</w:t>
            </w:r>
          </w:p>
          <w:p>
            <w:pPr>
              <w:ind w:firstLine="420"/>
            </w:pPr>
          </w:p>
          <w:p>
            <w:pPr>
              <w:ind w:firstLine="422"/>
              <w:rPr>
                <w:b/>
                <w:bCs/>
              </w:rPr>
            </w:pPr>
            <w:r>
              <w:rPr>
                <w:rFonts w:hint="eastAsia"/>
                <w:b/>
                <w:bCs/>
              </w:rPr>
              <w:t>Q5：据了解信托行业近两年整体行情大不如从前，行业从业人员大部分收入出现断崖式下降。请问公司营业收入和净利润逆向大幅增长是什么驱动的？这种增长趋势是否具有持续性和健康性？</w:t>
            </w:r>
          </w:p>
          <w:p>
            <w:pPr>
              <w:ind w:firstLine="422"/>
              <w:rPr>
                <w:rFonts w:hint="eastAsia"/>
              </w:rPr>
            </w:pPr>
            <w:r>
              <w:rPr>
                <w:rFonts w:hint="eastAsia"/>
                <w:b/>
                <w:bCs/>
                <w:lang w:bidi="ar"/>
              </w:rPr>
              <w:t>A</w:t>
            </w:r>
            <w:r>
              <w:rPr>
                <w:rFonts w:hint="eastAsia"/>
                <w:b/>
                <w:bCs/>
              </w:rPr>
              <w:t>：</w:t>
            </w:r>
            <w:r>
              <w:rPr>
                <w:rFonts w:hint="eastAsia"/>
              </w:rPr>
              <w:t>公司以高质量发展为引领，以优化盈利模式、深推改革创新、力促业务转型、夯实管理质效为抓手，在信托行业剧烈变革过程中厚植资本实力，稳筑风险防线，公司综合实力稳步提升。截至2023年底，公司注册资本51.14亿元、净资产170.89亿元、营业收入28.13亿元、净利润10.82亿元，逆势再创历史新高，综合实力站稳行业第一梯队，主要得益于：一是公司重点发挥固有业务“压舱石”作用，夯实稳增长基础，持续推动固有业务向精细化、专业化发展，将投资与融资相结合、长中短期相结合的多层次投资模式做深做实。二是“三分类”新规下发后，公司加大推进标品信托业务落地，资产管理类信托规模超2000亿元，受托人报酬增加。三是服务类信托规模大幅增加，增幅达到300%，也增加了受托人报酬。四是公司深化全面风险管理加固三道防线，提升融资类业务受托人报酬率，从而对冲优选高评级主体和区域差异化展业策略导致的业务规模下滑对收入的影响。</w:t>
            </w:r>
          </w:p>
          <w:p>
            <w:pPr>
              <w:ind w:firstLine="422"/>
            </w:pPr>
            <w:r>
              <w:rPr>
                <w:rFonts w:hint="eastAsia"/>
              </w:rPr>
              <w:t>公司坚持稳中求进工作总基调，完整、准确、全面贯彻新发展理念，围绕信托业务新分类政策导向，对标国内一流资管机构，持续提升标准化资产管理和资产服务能力，提供更多有技术含量、综合收益和品牌影响力的服务，站稳行业第一梯队。</w:t>
            </w:r>
          </w:p>
          <w:p>
            <w:pPr>
              <w:ind w:firstLine="422"/>
              <w:rPr>
                <w:b/>
                <w:bCs/>
              </w:rPr>
            </w:pPr>
          </w:p>
          <w:p>
            <w:pPr>
              <w:ind w:firstLine="422"/>
              <w:rPr>
                <w:rFonts w:hint="eastAsia"/>
                <w:b/>
                <w:bCs/>
              </w:rPr>
            </w:pPr>
            <w:r>
              <w:rPr>
                <w:rFonts w:hint="eastAsia"/>
                <w:b/>
                <w:bCs/>
              </w:rPr>
              <w:t>Q</w:t>
            </w:r>
            <w:r>
              <w:rPr>
                <w:b/>
                <w:bCs/>
              </w:rPr>
              <w:t>6</w:t>
            </w:r>
            <w:r>
              <w:rPr>
                <w:rFonts w:hint="eastAsia"/>
                <w:b/>
                <w:bCs/>
              </w:rPr>
              <w:t>：信托公司如何推进数字化转型和智能化升级？</w:t>
            </w:r>
          </w:p>
          <w:p>
            <w:pPr>
              <w:ind w:firstLine="420"/>
              <w:rPr>
                <w:rFonts w:hint="eastAsia"/>
              </w:rPr>
            </w:pPr>
            <w:r>
              <w:rPr>
                <w:rFonts w:hint="eastAsia"/>
                <w:b/>
                <w:bCs/>
                <w:lang w:bidi="ar"/>
              </w:rPr>
              <w:t>A</w:t>
            </w:r>
            <w:r>
              <w:rPr>
                <w:rFonts w:hint="eastAsia"/>
                <w:b/>
                <w:bCs/>
              </w:rPr>
              <w:t>：</w:t>
            </w:r>
            <w:r>
              <w:rPr>
                <w:rFonts w:hint="eastAsia"/>
              </w:rPr>
              <w:t>从组织架构方面，公司设立了信息化委员会，统筹管理数字化转型发展战略、规划和建设等工作。设置了独立的信息科技部，负责整个公司的信息化建设实施；从制度体系建设方面，公司制定了《信息科技风险管理办法》《网络安全管理办法》等十余项管理制度，从基础设施安全、数据安全等不同维度保障数字化转型规范、安全、有序开展；从数字化转型规划和发展方面，与全球著名咨询机构德勤合作，为公司的数字化转型发展提供专业、全面的咨询服务。近几年，公司加速推进“数智化”升级，积极应用AI、RPA、大数据等新技术，建设和完善自动化估值、自动化TA、自动化运营等平台，不断提升业务运营管理效率。</w:t>
            </w:r>
          </w:p>
          <w:p>
            <w:pPr>
              <w:ind w:firstLine="420"/>
              <w:rPr>
                <w:rFonts w:hint="eastAsia"/>
              </w:rPr>
            </w:pPr>
            <w:r>
              <w:rPr>
                <w:rFonts w:hint="eastAsia"/>
              </w:rPr>
              <w:t>一是加强顶层设计，以成立陕西省金融科技协会为契机，与国内头部科技公司强化合作，通过覆盖“全范围”、嵌入“全流程”、推动“全员参与”、培养“全局意识”、建立“全球视野”、加强“全公司治理”，扎实推动公司金融科技生态建设，用科技力量铸造“信托服务”工程。</w:t>
            </w:r>
          </w:p>
          <w:p>
            <w:pPr>
              <w:ind w:firstLine="420"/>
              <w:rPr>
                <w:rFonts w:hint="eastAsia"/>
              </w:rPr>
            </w:pPr>
            <w:r>
              <w:rPr>
                <w:rFonts w:hint="eastAsia"/>
              </w:rPr>
              <w:t>二是夯实数字化基础设施。公司计划每年信息科技投入预算不低于5000万元，围绕“重视业务连续性、提升运营能力、加强信息化安全管理”重要目标，持续强化数字化建设底层硬件及基础平台全场景改造。探索与头部科技企业建立联合实验室，围绕构建全智能全场景数智金融密切交流合作，加速基础设施、湖仓一体与系统研发等成果落地，筑牢基础硬件韧性。</w:t>
            </w:r>
          </w:p>
          <w:p>
            <w:pPr>
              <w:ind w:firstLine="420"/>
              <w:rPr>
                <w:rFonts w:hint="eastAsia"/>
              </w:rPr>
            </w:pPr>
            <w:r>
              <w:rPr>
                <w:rFonts w:hint="eastAsia"/>
              </w:rPr>
              <w:t>三是优化公司信息系统架构。坚持问题导向，聚焦业务需求，持续推进公司TA系统、综合运营管理平台、智能流程管理平台、资管系统三期、估值自动化运营等核心系统功能的优化升级，强化系统间的互联互通。立足“三分类”改革调整公司数据治理逻辑，计划进一步打造大数据应用及分析平台，以“数据要素×”提高全要素生产率。</w:t>
            </w:r>
          </w:p>
          <w:p>
            <w:pPr>
              <w:ind w:firstLine="420"/>
            </w:pPr>
            <w:r>
              <w:rPr>
                <w:rFonts w:hint="eastAsia"/>
              </w:rPr>
              <w:t>四是高度重视数字化人才队伍储备，通过“内培+外引”相结合的方式持续壮大信息科技团队，推动数字化转型和保障数字化转型价值实现。对标同业金融机构探索打造智能投研体系，以大数据、AI等技术提升公司投研团队的战略思维能力、分析研判能力、解决问题能力，为公司数字化智能化转型提供视野更广、范围更宽、内涵更全面、质量更高的决策支撑。</w:t>
            </w:r>
          </w:p>
          <w:p>
            <w:pPr>
              <w:ind w:firstLine="420"/>
            </w:pPr>
          </w:p>
          <w:p>
            <w:pPr>
              <w:ind w:firstLine="422"/>
              <w:rPr>
                <w:b/>
                <w:bCs/>
              </w:rPr>
            </w:pPr>
            <w:r>
              <w:rPr>
                <w:rFonts w:hint="eastAsia"/>
                <w:b/>
                <w:bCs/>
              </w:rPr>
              <w:t>Q</w:t>
            </w:r>
            <w:r>
              <w:rPr>
                <w:b/>
                <w:bCs/>
              </w:rPr>
              <w:t>7</w:t>
            </w:r>
            <w:r>
              <w:rPr>
                <w:rFonts w:hint="eastAsia"/>
                <w:b/>
                <w:bCs/>
              </w:rPr>
              <w:t>：陕国投如何进行有效的公司治理和管理？</w:t>
            </w:r>
          </w:p>
          <w:p>
            <w:pPr>
              <w:ind w:firstLine="420"/>
              <w:rPr>
                <w:rFonts w:hint="eastAsia"/>
              </w:rPr>
            </w:pPr>
            <w:r>
              <w:rPr>
                <w:rFonts w:hint="eastAsia"/>
                <w:b/>
                <w:bCs/>
                <w:lang w:bidi="ar"/>
              </w:rPr>
              <w:t>A</w:t>
            </w:r>
            <w:r>
              <w:rPr>
                <w:rFonts w:hint="eastAsia"/>
                <w:b/>
                <w:bCs/>
              </w:rPr>
              <w:t>：</w:t>
            </w:r>
            <w:r>
              <w:rPr>
                <w:rFonts w:hint="eastAsia"/>
              </w:rPr>
              <w:t>公司按照《公司法》《证券法》《信托法》《信托公司管理办法》及《信托公司治理指引》等有关法律法规的规定和中国证券监督管理委员会、国家金融监督管理总局的监管要求，建立了由股东大会、董事会、监事会和高级管理人员组成的公司治理架构，形成了权力机构、决策机构、监督机构和高级管理层之间权责分明、运作规范的相互协调和相互制衡机制。公司按照相关法律法规的要求设立了股东大会、董事会、监事会和董事会专门委员会，建立了有关“三会”运作、独立董事、信息披露、投资者保护、关联交易、内部控制等方面的内部制度。公司通过制定《公司章程》以及各项内部制度的实施，明确了各级机构在决策、执行、监督等方面的职责权限、程序以及应履行的义务。公司以《公司章程》为指引，规范有序运行，切实保护公司、股东、受益人等相关各方利益。</w:t>
            </w:r>
          </w:p>
          <w:p>
            <w:pPr>
              <w:ind w:left="0" w:leftChars="0" w:firstLine="0" w:firstLineChars="0"/>
              <w:rPr>
                <w:rFonts w:hint="eastAsia"/>
              </w:rPr>
            </w:pPr>
          </w:p>
          <w:p>
            <w:pPr>
              <w:ind w:firstLine="422"/>
              <w:rPr>
                <w:b/>
                <w:bCs/>
              </w:rPr>
            </w:pPr>
            <w:r>
              <w:rPr>
                <w:rFonts w:hint="eastAsia"/>
                <w:b/>
                <w:bCs/>
              </w:rPr>
              <w:t>Q</w:t>
            </w:r>
            <w:r>
              <w:rPr>
                <w:rFonts w:hint="eastAsia"/>
                <w:b/>
                <w:bCs/>
                <w:lang w:val="en-US" w:eastAsia="zh-CN"/>
              </w:rPr>
              <w:t>8</w:t>
            </w:r>
            <w:r>
              <w:rPr>
                <w:rFonts w:hint="eastAsia"/>
                <w:b/>
                <w:bCs/>
              </w:rPr>
              <w:t>：前次非公开发行对贵公司后续经营发展有什么影响？</w:t>
            </w:r>
          </w:p>
          <w:p>
            <w:pPr>
              <w:ind w:firstLine="420"/>
              <w:rPr>
                <w:rFonts w:hint="eastAsia"/>
              </w:rPr>
            </w:pPr>
            <w:r>
              <w:rPr>
                <w:rFonts w:hint="eastAsia"/>
                <w:b/>
                <w:bCs/>
                <w:lang w:bidi="ar"/>
              </w:rPr>
              <w:t>A</w:t>
            </w:r>
            <w:r>
              <w:rPr>
                <w:rFonts w:hint="eastAsia"/>
                <w:b/>
                <w:bCs/>
              </w:rPr>
              <w:t>：</w:t>
            </w:r>
            <w:r>
              <w:rPr>
                <w:rFonts w:hint="eastAsia"/>
              </w:rPr>
              <w:t>前次非公开发行对公司后续经营发展产生了如下影响：</w:t>
            </w:r>
          </w:p>
          <w:p>
            <w:pPr>
              <w:ind w:firstLine="420"/>
              <w:rPr>
                <w:rFonts w:hint="eastAsia"/>
              </w:rPr>
            </w:pPr>
            <w:r>
              <w:rPr>
                <w:rFonts w:hint="eastAsia"/>
              </w:rPr>
              <w:t>一是增强公司资本实力，提高市场竞争力。非公开发行的募集资金在扣除相关发行费用后，全部用于补充公司资本金，有助于提升公司综合实力，继续增强并保持公司在行业中的竞争优势。</w:t>
            </w:r>
          </w:p>
          <w:p>
            <w:pPr>
              <w:ind w:firstLine="420"/>
              <w:rPr>
                <w:rFonts w:hint="eastAsia"/>
              </w:rPr>
            </w:pPr>
            <w:r>
              <w:rPr>
                <w:rFonts w:hint="eastAsia"/>
              </w:rPr>
              <w:t>二是提升公司抗风险能力和可持续发展能力。非公开发行后公司的注册资本、总资产、净资产和净资本规模提升，各项风险控制指标更加稳健，风险控制能力不断增强，抵御风险能力和可持续发展能力不断提高。</w:t>
            </w:r>
          </w:p>
          <w:p>
            <w:pPr>
              <w:ind w:firstLine="420"/>
              <w:rPr>
                <w:rFonts w:hint="eastAsia"/>
              </w:rPr>
            </w:pPr>
            <w:r>
              <w:rPr>
                <w:rFonts w:hint="eastAsia"/>
              </w:rPr>
              <w:t>三是支撑公司业务转型，提升盈利能力。非公开发行后公司持续拓展支撑投资信托、服务信托、财富管理信托等业务的发展，贯彻落实公司信托业务转型规划、提升公司盈利能力。</w:t>
            </w:r>
          </w:p>
          <w:p>
            <w:pPr>
              <w:ind w:firstLine="420"/>
              <w:rPr>
                <w:rFonts w:hint="eastAsia"/>
              </w:rPr>
            </w:pPr>
            <w:r>
              <w:rPr>
                <w:rFonts w:hint="eastAsia"/>
              </w:rPr>
              <w:t>四是响应国家战略号召，服务实体经济。公司积极响应国家发展战略和经济增长模式转变对金融服务提出的新需求，积极提升自身的专业能力，服务实体经济。</w:t>
            </w:r>
          </w:p>
          <w:p>
            <w:pPr>
              <w:ind w:firstLine="420"/>
              <w:rPr>
                <w:rFonts w:hint="eastAsia"/>
              </w:rPr>
            </w:pPr>
          </w:p>
          <w:p>
            <w:pPr>
              <w:ind w:firstLine="422"/>
              <w:rPr>
                <w:b/>
                <w:bCs/>
              </w:rPr>
            </w:pPr>
            <w:r>
              <w:rPr>
                <w:rFonts w:hint="eastAsia"/>
                <w:b/>
                <w:bCs/>
              </w:rPr>
              <w:t>Q</w:t>
            </w:r>
            <w:r>
              <w:rPr>
                <w:rFonts w:hint="eastAsia"/>
                <w:b/>
                <w:bCs/>
                <w:lang w:val="en-US" w:eastAsia="zh-CN"/>
              </w:rPr>
              <w:t>9</w:t>
            </w:r>
            <w:r>
              <w:rPr>
                <w:rFonts w:hint="eastAsia"/>
                <w:b/>
                <w:bCs/>
              </w:rPr>
              <w:t>：陕国投如何抵御市场风险和信用风险？</w:t>
            </w:r>
          </w:p>
          <w:p>
            <w:pPr>
              <w:ind w:firstLine="420"/>
              <w:rPr>
                <w:rFonts w:hint="eastAsia"/>
              </w:rPr>
            </w:pPr>
            <w:r>
              <w:rPr>
                <w:rFonts w:hint="eastAsia"/>
                <w:b/>
                <w:bCs/>
                <w:lang w:bidi="ar"/>
              </w:rPr>
              <w:t>A</w:t>
            </w:r>
            <w:r>
              <w:rPr>
                <w:rFonts w:hint="eastAsia"/>
                <w:b/>
                <w:bCs/>
              </w:rPr>
              <w:t>：</w:t>
            </w:r>
            <w:r>
              <w:rPr>
                <w:rFonts w:hint="eastAsia"/>
              </w:rPr>
              <w:t>市场风险</w:t>
            </w:r>
            <w:r>
              <w:rPr>
                <w:rFonts w:hint="eastAsia"/>
                <w:lang w:val="en-US" w:eastAsia="zh-CN"/>
              </w:rPr>
              <w:t>方面，</w:t>
            </w:r>
            <w:r>
              <w:rPr>
                <w:rFonts w:hint="eastAsia"/>
              </w:rPr>
              <w:t>2023年，公司紧跟宏观经济形势的变化，密切关注和防范市场风险，具体措施包括：一是对宏观经济走势、政策变化、投资策略及其他影响市场变化的因素进行分析研究，为投资决策提供参考；二是审慎开展创新业务，结合市场情况，严格遴选实力较强的合作机构和交易对手，持续跟踪评估；三是进行资产组合管理，并动态调整资产配置方案，严格执行以风险预警和止损为核心的风险管控机制，严控证券投资业务风险；四是密切监控已开展业务的运行情况，定期开展压力测试，根据市场风险情况及时做出投资调整、提前结束等风险管理措施，避免或降低市场风险引起的损失。</w:t>
            </w:r>
          </w:p>
          <w:p>
            <w:pPr>
              <w:ind w:firstLine="420"/>
              <w:rPr>
                <w:rFonts w:hint="eastAsia"/>
              </w:rPr>
            </w:pPr>
            <w:r>
              <w:rPr>
                <w:rFonts w:hint="eastAsia"/>
              </w:rPr>
              <w:t>信用风险</w:t>
            </w:r>
            <w:r>
              <w:rPr>
                <w:rFonts w:hint="eastAsia"/>
                <w:lang w:val="en-US" w:eastAsia="zh-CN"/>
              </w:rPr>
              <w:t>方面，</w:t>
            </w:r>
            <w:bookmarkStart w:id="0" w:name="_GoBack"/>
            <w:bookmarkEnd w:id="0"/>
            <w:r>
              <w:rPr>
                <w:rFonts w:hint="eastAsia"/>
              </w:rPr>
              <w:t>2023年，公司主要通过实施准入管理、加强集中度管控和期间管理、完善债权类金融资产风险分类等手段实施信用风险的防控，具体措施包括：一是从区域、交易对手、担保品等多维度实施准入式管理，辅以动态的集中度管控达到分散风险的目的，同时强化存续期风险预警、排查、应急管理以及信息披露的联动机制，提升风险识别、防控、处置效率；二是定期开展信用风险压力测试，分别测算出在轻度、中度、重度三种压力环境下公司未来资产预期信用损失，动态把握信用风险资产质量和风险承受能力；三是进一步完善固有资产的分类管理机制。按照监管要求，公司持续完善风险分类、报告和监督机制，定期开展表内金融资产风险分类工作，准确评估资产信用风险，真实反映资产质量；四是严格按照国家法律、法规相关要求，足额计提相关资产减值准备、一般准备、信托赔偿准备等，提升风险抵御能力。</w:t>
            </w:r>
          </w:p>
          <w:p>
            <w:pPr>
              <w:ind w:firstLine="420"/>
              <w:rPr>
                <w:rFonts w:hint="eastAsia"/>
              </w:rPr>
            </w:pPr>
          </w:p>
          <w:p>
            <w:pPr>
              <w:ind w:firstLine="422"/>
              <w:rPr>
                <w:b/>
                <w:bCs/>
              </w:rPr>
            </w:pPr>
            <w:r>
              <w:rPr>
                <w:rFonts w:hint="eastAsia"/>
                <w:b/>
                <w:bCs/>
              </w:rPr>
              <w:t>Q</w:t>
            </w:r>
            <w:r>
              <w:rPr>
                <w:rFonts w:hint="eastAsia"/>
                <w:b/>
                <w:bCs/>
                <w:lang w:val="en-US" w:eastAsia="zh-CN"/>
              </w:rPr>
              <w:t>10</w:t>
            </w:r>
            <w:r>
              <w:rPr>
                <w:rFonts w:hint="eastAsia"/>
                <w:b/>
                <w:bCs/>
              </w:rPr>
              <w:t>：请阐述下公司坏账情况？</w:t>
            </w:r>
          </w:p>
          <w:p>
            <w:pPr>
              <w:ind w:firstLine="420"/>
              <w:rPr>
                <w:rFonts w:hint="eastAsia"/>
              </w:rPr>
            </w:pPr>
            <w:r>
              <w:rPr>
                <w:rFonts w:hint="eastAsia"/>
                <w:b/>
                <w:bCs/>
                <w:lang w:bidi="ar"/>
              </w:rPr>
              <w:t>A</w:t>
            </w:r>
            <w:r>
              <w:rPr>
                <w:rFonts w:hint="eastAsia"/>
                <w:b/>
                <w:bCs/>
              </w:rPr>
              <w:t>：</w:t>
            </w:r>
            <w:r>
              <w:rPr>
                <w:rFonts w:hint="eastAsia"/>
              </w:rPr>
              <w:t>我公司根据《企业会计准则第22号——金融工具确认和计量》的规定，对持有的金融资产计提减值准备。相关情况请您积极关注公司历次《关于计提金融资产减值准备的公告》。</w:t>
            </w:r>
          </w:p>
          <w:p>
            <w:pPr>
              <w:ind w:left="0" w:leftChars="0" w:firstLine="0" w:firstLineChars="0"/>
              <w:rPr>
                <w:rFonts w:hint="eastAsia"/>
              </w:rPr>
            </w:pPr>
          </w:p>
          <w:p>
            <w:pPr>
              <w:ind w:firstLine="422"/>
              <w:rPr>
                <w:b/>
                <w:bCs/>
              </w:rPr>
            </w:pPr>
            <w:r>
              <w:rPr>
                <w:rFonts w:hint="eastAsia"/>
                <w:b/>
                <w:bCs/>
              </w:rPr>
              <w:t>Q</w:t>
            </w:r>
            <w:r>
              <w:rPr>
                <w:rFonts w:hint="eastAsia"/>
                <w:b/>
                <w:bCs/>
                <w:lang w:val="en-US" w:eastAsia="zh-CN"/>
              </w:rPr>
              <w:t>11</w:t>
            </w:r>
            <w:r>
              <w:rPr>
                <w:rFonts w:hint="eastAsia"/>
                <w:b/>
                <w:bCs/>
              </w:rPr>
              <w:t>：“质量回报双提升”行动方案什么时候公布？</w:t>
            </w:r>
          </w:p>
          <w:p>
            <w:pPr>
              <w:ind w:firstLine="420"/>
              <w:rPr>
                <w:rFonts w:hint="eastAsia"/>
              </w:rPr>
            </w:pPr>
            <w:r>
              <w:rPr>
                <w:rFonts w:hint="eastAsia"/>
                <w:b/>
                <w:bCs/>
                <w:lang w:bidi="ar"/>
              </w:rPr>
              <w:t>A</w:t>
            </w:r>
            <w:r>
              <w:rPr>
                <w:rFonts w:hint="eastAsia"/>
                <w:b/>
                <w:bCs/>
              </w:rPr>
              <w:t>：</w:t>
            </w:r>
            <w:r>
              <w:rPr>
                <w:rFonts w:hint="eastAsia"/>
              </w:rPr>
              <w:t>“质量回报双提升”是国资主管部门提出的着力提高央企控股上市公司质量的重要举措。根据中省相关政策精神，陕西省财政厅现实际履行对包括我公司在内的省属金融企业出资人职责，并负责日常管理。</w:t>
            </w:r>
          </w:p>
          <w:p>
            <w:pPr>
              <w:ind w:firstLine="420"/>
              <w:rPr>
                <w:rFonts w:hint="eastAsia"/>
              </w:rPr>
            </w:pPr>
          </w:p>
          <w:p>
            <w:pPr>
              <w:ind w:firstLine="422"/>
              <w:rPr>
                <w:b/>
                <w:bCs/>
              </w:rPr>
            </w:pPr>
            <w:r>
              <w:rPr>
                <w:rFonts w:hint="eastAsia"/>
                <w:b/>
                <w:bCs/>
              </w:rPr>
              <w:t>Q</w:t>
            </w:r>
            <w:r>
              <w:rPr>
                <w:rFonts w:hint="eastAsia"/>
                <w:b/>
                <w:bCs/>
                <w:lang w:val="en-US" w:eastAsia="zh-CN"/>
              </w:rPr>
              <w:t>12</w:t>
            </w:r>
            <w:r>
              <w:rPr>
                <w:rFonts w:hint="eastAsia"/>
                <w:b/>
                <w:bCs/>
              </w:rPr>
              <w:t>：每年计提的金融减值是怎么算出来的？</w:t>
            </w:r>
          </w:p>
          <w:p>
            <w:pPr>
              <w:ind w:firstLine="420"/>
              <w:rPr>
                <w:rFonts w:hint="eastAsia"/>
              </w:rPr>
            </w:pPr>
            <w:r>
              <w:rPr>
                <w:rFonts w:hint="eastAsia"/>
                <w:b/>
                <w:bCs/>
                <w:lang w:bidi="ar"/>
              </w:rPr>
              <w:t>A</w:t>
            </w:r>
            <w:r>
              <w:rPr>
                <w:rFonts w:hint="eastAsia"/>
                <w:b/>
                <w:bCs/>
              </w:rPr>
              <w:t>：</w:t>
            </w:r>
            <w:r>
              <w:rPr>
                <w:rFonts w:hint="eastAsia"/>
              </w:rPr>
              <w:t>我公司坚持合规运营、有效防控风险，继续保持稳健发展势头，但此前受市场等多重因素影响，个别项目出现流动性压力等风险，基于财务稳健性，公司在积极稳妥化解相关风险的过程中，根据《企业会计准则第22号——金融工具确认和计量》的规定，对持有的金融资产计提减值准备。</w:t>
            </w:r>
          </w:p>
          <w:p>
            <w:pPr>
              <w:ind w:firstLine="420"/>
              <w:rPr>
                <w:rFonts w:hint="eastAsia"/>
              </w:rPr>
            </w:pPr>
          </w:p>
          <w:p>
            <w:pPr>
              <w:ind w:firstLine="422"/>
              <w:rPr>
                <w:rFonts w:hint="default"/>
                <w:b/>
                <w:bCs/>
                <w:lang w:val="en-US" w:eastAsia="zh-CN"/>
              </w:rPr>
            </w:pPr>
            <w:r>
              <w:rPr>
                <w:rFonts w:hint="eastAsia"/>
                <w:b/>
                <w:bCs/>
                <w:lang w:val="en-US" w:eastAsia="zh-CN"/>
              </w:rPr>
              <w:t>Q13：公司现遇到的发展瓶颈是什么？主营信托业务规模能否继续上涨？</w:t>
            </w:r>
          </w:p>
          <w:p>
            <w:pPr>
              <w:ind w:firstLine="420"/>
              <w:rPr>
                <w:rFonts w:hint="eastAsia"/>
              </w:rPr>
            </w:pPr>
            <w:r>
              <w:rPr>
                <w:rFonts w:hint="eastAsia"/>
                <w:b/>
                <w:bCs/>
                <w:lang w:bidi="ar"/>
              </w:rPr>
              <w:t>A</w:t>
            </w:r>
            <w:r>
              <w:rPr>
                <w:rFonts w:hint="eastAsia"/>
                <w:b/>
                <w:bCs/>
              </w:rPr>
              <w:t>：</w:t>
            </w:r>
            <w:r>
              <w:rPr>
                <w:rFonts w:hint="eastAsia"/>
              </w:rPr>
              <w:t>2023年，我国信托行业正式步入转型发展新阶段。《关于规范信托公司信托业务分类的通知》明确规范了信托行业的业务类别、定义与边界，行业进入动能转换承压期，传统融资类业务被进一步压缩，标品投资、资产服务信托等创新业务前期投入大，各家信托公司均在探索新的盈利模式。</w:t>
            </w:r>
          </w:p>
          <w:p>
            <w:pPr>
              <w:ind w:firstLine="420"/>
              <w:rPr>
                <w:rFonts w:hint="eastAsia"/>
              </w:rPr>
            </w:pPr>
            <w:r>
              <w:rPr>
                <w:rFonts w:hint="eastAsia"/>
              </w:rPr>
              <w:t xml:space="preserve">公司坚持党的集中统一领导，完整准确全面贯彻新发展理念，坚持服务实体经济高质量发展，坚持稳中求进工作总基调，扎实推进信托转型创新。公司将以信托业“三分类”改革为指导，聚焦陕西省“三个年”活动，以高质量发展为引领，以优化盈利模式、深推改革创新、力促业务转型、夯实管理质效为抓手，在信托行业剧烈变革过程中厚植资本实力，稳筑风险防线，推动信托规模稳步提升。 </w:t>
            </w:r>
          </w:p>
          <w:p>
            <w:pPr>
              <w:ind w:firstLine="420"/>
              <w:rPr>
                <w:rFonts w:hint="eastAsia"/>
              </w:rPr>
            </w:pPr>
          </w:p>
          <w:p>
            <w:pPr>
              <w:ind w:firstLine="422"/>
              <w:rPr>
                <w:rFonts w:hint="default"/>
                <w:b/>
                <w:bCs/>
                <w:lang w:val="en-US" w:eastAsia="zh-CN"/>
              </w:rPr>
            </w:pPr>
            <w:r>
              <w:rPr>
                <w:rFonts w:hint="eastAsia"/>
                <w:b/>
                <w:bCs/>
                <w:lang w:val="en-US" w:eastAsia="zh-CN"/>
              </w:rPr>
              <w:t>Q14：今年如何提高市值管理？股价提升是否有具体措施？</w:t>
            </w:r>
          </w:p>
          <w:p>
            <w:pPr>
              <w:ind w:firstLine="420"/>
              <w:rPr>
                <w:rFonts w:hint="eastAsia"/>
              </w:rPr>
            </w:pPr>
            <w:r>
              <w:rPr>
                <w:rFonts w:hint="eastAsia"/>
                <w:b/>
                <w:bCs/>
                <w:lang w:bidi="ar"/>
              </w:rPr>
              <w:t>A</w:t>
            </w:r>
            <w:r>
              <w:rPr>
                <w:rFonts w:hint="eastAsia"/>
                <w:b/>
                <w:bCs/>
              </w:rPr>
              <w:t>：</w:t>
            </w:r>
            <w:r>
              <w:rPr>
                <w:rFonts w:hint="eastAsia"/>
              </w:rPr>
              <w:t>二级市场交易价格受宏观经济、市场行情、行业政策、公司基本面等多种因素的影响。公司管理层高度重视公司股价变动和市值情况，公司将多措并举传递和提升公司价值，维护公司和所有股东的权益：充分利用好上市公司优势，不断夯实资本规模，提高资本管理能力，拓展业务发展空间、提高经营业绩；与市场各方加强交流，增强市场和投资者认同感，维护公司良好市场声誉；持续加强品牌宣传力度，提升行业影响力，为提升公司价值做出积极努力。</w:t>
            </w:r>
          </w:p>
          <w:p>
            <w:pPr>
              <w:ind w:firstLine="420"/>
              <w:rPr>
                <w:rFonts w:hint="eastAsia"/>
              </w:rPr>
            </w:pPr>
          </w:p>
          <w:p>
            <w:pPr>
              <w:ind w:firstLine="422"/>
              <w:rPr>
                <w:rFonts w:hint="default"/>
                <w:b/>
                <w:bCs/>
                <w:lang w:val="en-US" w:eastAsia="zh-CN"/>
              </w:rPr>
            </w:pPr>
            <w:r>
              <w:rPr>
                <w:rFonts w:hint="eastAsia"/>
                <w:b/>
                <w:bCs/>
                <w:lang w:val="en-US" w:eastAsia="zh-CN"/>
              </w:rPr>
              <w:t>Q15：公司如何提高资金使用效率，还有如何降低成本的？</w:t>
            </w:r>
          </w:p>
          <w:p>
            <w:pPr>
              <w:ind w:firstLine="420"/>
              <w:rPr>
                <w:rFonts w:hint="eastAsia"/>
              </w:rPr>
            </w:pPr>
            <w:r>
              <w:rPr>
                <w:rFonts w:hint="eastAsia"/>
                <w:b/>
                <w:bCs/>
                <w:lang w:bidi="ar"/>
              </w:rPr>
              <w:t>A</w:t>
            </w:r>
            <w:r>
              <w:rPr>
                <w:rFonts w:hint="eastAsia"/>
                <w:b/>
                <w:bCs/>
              </w:rPr>
              <w:t>：</w:t>
            </w:r>
            <w:r>
              <w:rPr>
                <w:rFonts w:hint="eastAsia"/>
              </w:rPr>
              <w:t>公司通过深化与信保基金等金融同业的合作、优化投资组合、精细化资金调度、强化全面风险管理、加强金融科技创新、创新产品与服务等多项措施，不断提高资金的使用效率、降低使用成本。</w:t>
            </w:r>
          </w:p>
          <w:p>
            <w:pPr>
              <w:ind w:firstLine="420"/>
              <w:rPr>
                <w:rFonts w:hint="eastAsia"/>
                <w:b/>
                <w:bCs/>
              </w:rPr>
            </w:pPr>
          </w:p>
          <w:p>
            <w:pPr>
              <w:ind w:firstLine="422"/>
              <w:rPr>
                <w:rFonts w:hint="default"/>
                <w:b/>
                <w:bCs/>
                <w:lang w:val="en-US" w:eastAsia="zh-CN"/>
              </w:rPr>
            </w:pPr>
            <w:r>
              <w:rPr>
                <w:rFonts w:hint="eastAsia"/>
                <w:b/>
                <w:bCs/>
                <w:lang w:val="en-US" w:eastAsia="zh-CN"/>
              </w:rPr>
              <w:t>Q16：公司是否参与转融通业务？</w:t>
            </w:r>
          </w:p>
          <w:p>
            <w:pPr>
              <w:ind w:firstLine="420"/>
              <w:rPr>
                <w:rFonts w:hint="eastAsia"/>
              </w:rPr>
            </w:pPr>
            <w:r>
              <w:rPr>
                <w:rFonts w:hint="eastAsia"/>
                <w:b/>
                <w:bCs/>
                <w:lang w:bidi="ar"/>
              </w:rPr>
              <w:t>A</w:t>
            </w:r>
            <w:r>
              <w:rPr>
                <w:rFonts w:hint="eastAsia"/>
                <w:b/>
                <w:bCs/>
              </w:rPr>
              <w:t>：</w:t>
            </w:r>
            <w:r>
              <w:rPr>
                <w:rFonts w:hint="eastAsia"/>
              </w:rPr>
              <w:t>我公司目前未参与转融通业务，公司持股5%以上股东陕西交控资产管理有限责任公司（以下简称“交控资产管理公司”）在2023年7月18日至2023年12月11日期间，以所持本公司股份参与转融通证券出借业务，出借累计发生5,628,100股。2023年12月19日，公司收到交控资产管理公司出具的《关于参与转融通证券出借业务期限届满的告知函》。交控资产管理公司转融通证券出借业务期限已届满，参与转融通出借业务的股份已全部收回，证券出借实施前后持有本公司股数和占总股本比例不变。上述事项详细披露于2023年6月22日和2023年12月20日《中国证券报》、《证券时报》和巨潮资讯网。</w:t>
            </w:r>
          </w:p>
          <w:p>
            <w:pPr>
              <w:ind w:firstLine="420"/>
              <w:rPr>
                <w:rFonts w:hint="eastAsia"/>
              </w:rPr>
            </w:pPr>
          </w:p>
          <w:p>
            <w:pPr>
              <w:ind w:firstLine="422"/>
              <w:rPr>
                <w:rFonts w:hint="default"/>
                <w:b/>
                <w:bCs/>
                <w:lang w:val="en-US" w:eastAsia="zh-CN"/>
              </w:rPr>
            </w:pPr>
            <w:r>
              <w:rPr>
                <w:rFonts w:hint="eastAsia"/>
                <w:b/>
                <w:bCs/>
                <w:lang w:val="en-US" w:eastAsia="zh-CN"/>
              </w:rPr>
              <w:t>Q17：陕西省近期能不能组建一个全新的省级金控集团，带领陕国投更上一个台阶？</w:t>
            </w:r>
          </w:p>
          <w:p>
            <w:pPr>
              <w:ind w:firstLine="420"/>
              <w:rPr>
                <w:rFonts w:hint="eastAsia"/>
              </w:rPr>
            </w:pPr>
            <w:r>
              <w:rPr>
                <w:rFonts w:hint="eastAsia"/>
                <w:b/>
                <w:bCs/>
                <w:lang w:bidi="ar"/>
              </w:rPr>
              <w:t>A</w:t>
            </w:r>
            <w:r>
              <w:rPr>
                <w:rFonts w:hint="eastAsia"/>
                <w:b/>
                <w:bCs/>
              </w:rPr>
              <w:t>：</w:t>
            </w:r>
            <w:r>
              <w:rPr>
                <w:rFonts w:hint="eastAsia"/>
                <w:lang w:val="en-US" w:eastAsia="zh-CN"/>
              </w:rPr>
              <w:t>我公司董事长</w:t>
            </w:r>
            <w:r>
              <w:rPr>
                <w:rFonts w:hint="eastAsia"/>
              </w:rPr>
              <w:t>曾提出《关于组建省级金融控股集团的建议》的提案，上级管理部门已对其进行了答复，详见《对省政协十三届一次会议第230号建议的答复函》，具体情况请您通过官方网站进行查询了解。</w:t>
            </w:r>
          </w:p>
          <w:p>
            <w:pPr>
              <w:ind w:firstLine="420"/>
              <w:rPr>
                <w:rFonts w:hint="eastAsia"/>
              </w:rPr>
            </w:pPr>
          </w:p>
          <w:p>
            <w:pPr>
              <w:ind w:firstLine="420"/>
              <w:rPr>
                <w:rFonts w:hint="eastAsia"/>
                <w:b/>
                <w:bCs/>
                <w:lang w:val="en-US" w:eastAsia="zh-CN"/>
              </w:rPr>
            </w:pPr>
            <w:r>
              <w:rPr>
                <w:rFonts w:hint="eastAsia"/>
                <w:b/>
                <w:bCs/>
                <w:lang w:val="en-US" w:eastAsia="zh-CN"/>
              </w:rPr>
              <w:t>Q18：请问公司有投资飞行汽车或低空经济的公司吗？</w:t>
            </w:r>
          </w:p>
          <w:p>
            <w:pPr>
              <w:ind w:firstLine="420"/>
              <w:rPr>
                <w:rFonts w:hint="eastAsia"/>
                <w:lang w:val="en-US" w:eastAsia="zh-CN"/>
              </w:rPr>
            </w:pPr>
            <w:r>
              <w:rPr>
                <w:rFonts w:hint="eastAsia"/>
                <w:b/>
                <w:bCs/>
                <w:lang w:bidi="ar"/>
              </w:rPr>
              <w:t>A</w:t>
            </w:r>
            <w:r>
              <w:rPr>
                <w:rFonts w:hint="eastAsia"/>
                <w:b/>
                <w:bCs/>
              </w:rPr>
              <w:t>：</w:t>
            </w:r>
            <w:r>
              <w:rPr>
                <w:rFonts w:hint="eastAsia"/>
                <w:lang w:val="en-US" w:eastAsia="zh-CN"/>
              </w:rPr>
              <w:t>我公司投资了西安羚控电子科技有限公司，建议登录西安羚控电子官方网站（http://www.lyncon.cn/）进行了解。未来，我公司若在相关领域继续进行投资，请关注相关公告。</w:t>
            </w:r>
          </w:p>
          <w:p>
            <w:pPr>
              <w:ind w:firstLine="420"/>
              <w:rPr>
                <w:rFonts w:hint="eastAsia"/>
                <w:b/>
                <w:bCs/>
                <w:lang w:val="en-US" w:eastAsia="zh-CN"/>
              </w:rPr>
            </w:pPr>
          </w:p>
          <w:p>
            <w:pPr>
              <w:ind w:firstLine="420"/>
              <w:rPr>
                <w:rFonts w:hint="eastAsia"/>
                <w:b/>
                <w:bCs/>
                <w:lang w:val="en-US" w:eastAsia="zh-CN"/>
              </w:rPr>
            </w:pPr>
            <w:r>
              <w:rPr>
                <w:rFonts w:hint="eastAsia"/>
                <w:b/>
                <w:bCs/>
                <w:lang w:val="en-US" w:eastAsia="zh-CN"/>
              </w:rPr>
              <w:t>Q19：今年一季度业绩怎么样？</w:t>
            </w:r>
          </w:p>
          <w:p>
            <w:pPr>
              <w:ind w:firstLine="420"/>
              <w:rPr>
                <w:rFonts w:hint="eastAsia"/>
                <w:lang w:val="en-US" w:eastAsia="zh-CN"/>
              </w:rPr>
            </w:pPr>
            <w:r>
              <w:rPr>
                <w:rFonts w:hint="eastAsia"/>
                <w:b/>
                <w:bCs/>
                <w:lang w:bidi="ar"/>
              </w:rPr>
              <w:t>A</w:t>
            </w:r>
            <w:r>
              <w:rPr>
                <w:rFonts w:hint="eastAsia"/>
                <w:b/>
                <w:bCs/>
              </w:rPr>
              <w:t>：</w:t>
            </w:r>
            <w:r>
              <w:rPr>
                <w:rFonts w:hint="eastAsia"/>
                <w:lang w:val="en-US" w:eastAsia="zh-CN"/>
              </w:rPr>
              <w:t>2024年一季度业绩情况请积极关注公司将于本月公告的2024年第一季度报告。</w:t>
            </w:r>
          </w:p>
          <w:p>
            <w:pPr>
              <w:ind w:firstLine="420"/>
              <w:rPr>
                <w:rFonts w:hint="eastAsia"/>
                <w:lang w:val="en-US" w:eastAsia="zh-CN"/>
              </w:rPr>
            </w:pPr>
          </w:p>
          <w:p>
            <w:pPr>
              <w:ind w:firstLine="420"/>
              <w:rPr>
                <w:rFonts w:hint="eastAsia"/>
                <w:b/>
                <w:bCs/>
                <w:lang w:val="en-US" w:eastAsia="zh-CN"/>
              </w:rPr>
            </w:pPr>
            <w:r>
              <w:rPr>
                <w:rFonts w:hint="eastAsia"/>
                <w:b/>
                <w:bCs/>
                <w:lang w:val="en-US" w:eastAsia="zh-CN"/>
              </w:rPr>
              <w:t>Q20：贵公司发行的信托产品收益率怎么样？</w:t>
            </w:r>
          </w:p>
          <w:p>
            <w:pPr>
              <w:ind w:firstLine="420"/>
              <w:rPr>
                <w:rFonts w:hint="eastAsia"/>
                <w:b/>
                <w:bCs/>
                <w:lang w:val="en-US" w:eastAsia="zh-CN"/>
              </w:rPr>
            </w:pPr>
            <w:r>
              <w:rPr>
                <w:rFonts w:hint="eastAsia"/>
                <w:b/>
                <w:bCs/>
                <w:lang w:bidi="ar"/>
              </w:rPr>
              <w:t>A</w:t>
            </w:r>
            <w:r>
              <w:rPr>
                <w:rFonts w:hint="eastAsia"/>
                <w:b/>
                <w:bCs/>
              </w:rPr>
              <w:t>：</w:t>
            </w:r>
            <w:r>
              <w:rPr>
                <w:rFonts w:hint="eastAsia"/>
                <w:lang w:val="en-US" w:eastAsia="zh-CN"/>
              </w:rPr>
              <w:t>2023年度，我公司已清算结束的信托项目的加权平均实际收益率为6.09%，具体情况可查阅我公司年报。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9" w:type="pct"/>
            <w:shd w:val="clear" w:color="auto" w:fill="auto"/>
            <w:vAlign w:val="center"/>
          </w:tcPr>
          <w:p>
            <w:pPr>
              <w:spacing w:line="240" w:lineRule="auto"/>
              <w:ind w:firstLine="0" w:firstLineChars="0"/>
              <w:jc w:val="center"/>
              <w:rPr>
                <w:b/>
                <w:bCs/>
                <w:sz w:val="24"/>
                <w:szCs w:val="22"/>
              </w:rPr>
            </w:pPr>
            <w:r>
              <w:rPr>
                <w:rFonts w:hint="eastAsia"/>
                <w:b/>
                <w:bCs/>
                <w:sz w:val="24"/>
                <w:szCs w:val="22"/>
              </w:rPr>
              <w:t>附件清单（如有）</w:t>
            </w:r>
          </w:p>
        </w:tc>
        <w:tc>
          <w:tcPr>
            <w:tcW w:w="4170" w:type="pct"/>
            <w:shd w:val="clear" w:color="auto" w:fill="auto"/>
            <w:vAlign w:val="center"/>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29" w:type="pct"/>
            <w:shd w:val="clear" w:color="auto" w:fill="auto"/>
            <w:vAlign w:val="center"/>
          </w:tcPr>
          <w:p>
            <w:pPr>
              <w:spacing w:line="240" w:lineRule="auto"/>
              <w:ind w:firstLine="0" w:firstLineChars="0"/>
              <w:jc w:val="center"/>
              <w:rPr>
                <w:b/>
                <w:bCs/>
                <w:sz w:val="24"/>
                <w:szCs w:val="22"/>
              </w:rPr>
            </w:pPr>
            <w:r>
              <w:rPr>
                <w:rFonts w:hint="eastAsia"/>
                <w:b/>
                <w:bCs/>
                <w:sz w:val="24"/>
                <w:szCs w:val="22"/>
              </w:rPr>
              <w:t>日期</w:t>
            </w:r>
          </w:p>
        </w:tc>
        <w:tc>
          <w:tcPr>
            <w:tcW w:w="4170" w:type="pct"/>
            <w:shd w:val="clear" w:color="auto" w:fill="auto"/>
            <w:vAlign w:val="center"/>
          </w:tcPr>
          <w:p>
            <w:pPr>
              <w:ind w:left="0" w:leftChars="0" w:firstLine="0" w:firstLineChars="0"/>
              <w:rPr>
                <w:bCs/>
                <w:iCs/>
              </w:rPr>
            </w:pPr>
            <w:r>
              <w:rPr>
                <w:rFonts w:hint="eastAsia" w:ascii="Times New Roman" w:hAnsi="Times New Roman" w:eastAsia="sans-serif" w:cs="Times New Roman"/>
                <w:i w:val="0"/>
                <w:iCs w:val="0"/>
                <w:caps w:val="0"/>
                <w:spacing w:val="0"/>
                <w:sz w:val="24"/>
                <w:szCs w:val="24"/>
                <w:shd w:val="clear" w:fill="FFFFFF"/>
                <w:lang w:val="en-US" w:eastAsia="zh-CN"/>
              </w:rPr>
              <w:t>2024年4月3日</w:t>
            </w: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5OWRmZDdiMGE0NWJlMDg4ZWVhZTE2Yzc5YjA2MTYifQ=="/>
  </w:docVars>
  <w:rsids>
    <w:rsidRoot w:val="00DD46D3"/>
    <w:rsid w:val="00007CDE"/>
    <w:rsid w:val="00010544"/>
    <w:rsid w:val="000105EA"/>
    <w:rsid w:val="00015898"/>
    <w:rsid w:val="00023C50"/>
    <w:rsid w:val="00034199"/>
    <w:rsid w:val="000416EB"/>
    <w:rsid w:val="0005175C"/>
    <w:rsid w:val="00067FA9"/>
    <w:rsid w:val="00077A12"/>
    <w:rsid w:val="0008005E"/>
    <w:rsid w:val="000B5E26"/>
    <w:rsid w:val="000B75F8"/>
    <w:rsid w:val="000C1FBF"/>
    <w:rsid w:val="000E0359"/>
    <w:rsid w:val="000F3EDD"/>
    <w:rsid w:val="000F773C"/>
    <w:rsid w:val="0010555E"/>
    <w:rsid w:val="0014312E"/>
    <w:rsid w:val="00147F81"/>
    <w:rsid w:val="00160EFA"/>
    <w:rsid w:val="0018246D"/>
    <w:rsid w:val="0018619A"/>
    <w:rsid w:val="001A4505"/>
    <w:rsid w:val="001B0031"/>
    <w:rsid w:val="001C326C"/>
    <w:rsid w:val="001F32A4"/>
    <w:rsid w:val="002120B3"/>
    <w:rsid w:val="0021348A"/>
    <w:rsid w:val="00215615"/>
    <w:rsid w:val="00216C0F"/>
    <w:rsid w:val="00223D14"/>
    <w:rsid w:val="00284F40"/>
    <w:rsid w:val="002A427C"/>
    <w:rsid w:val="002B2394"/>
    <w:rsid w:val="002B5435"/>
    <w:rsid w:val="002E028C"/>
    <w:rsid w:val="003017B2"/>
    <w:rsid w:val="003053C6"/>
    <w:rsid w:val="00345E21"/>
    <w:rsid w:val="003626A4"/>
    <w:rsid w:val="00365B33"/>
    <w:rsid w:val="003966B6"/>
    <w:rsid w:val="0039745A"/>
    <w:rsid w:val="003A75F9"/>
    <w:rsid w:val="003A7F76"/>
    <w:rsid w:val="003E0F67"/>
    <w:rsid w:val="003E221F"/>
    <w:rsid w:val="003F1B9F"/>
    <w:rsid w:val="003F44C9"/>
    <w:rsid w:val="00431A8D"/>
    <w:rsid w:val="00433CDE"/>
    <w:rsid w:val="004514A4"/>
    <w:rsid w:val="0045156C"/>
    <w:rsid w:val="00467EC7"/>
    <w:rsid w:val="00486A2D"/>
    <w:rsid w:val="004B5D18"/>
    <w:rsid w:val="004C2256"/>
    <w:rsid w:val="004D1FB1"/>
    <w:rsid w:val="004F0DB1"/>
    <w:rsid w:val="005377F1"/>
    <w:rsid w:val="005575D3"/>
    <w:rsid w:val="00561440"/>
    <w:rsid w:val="00581D27"/>
    <w:rsid w:val="005928DD"/>
    <w:rsid w:val="005A4B18"/>
    <w:rsid w:val="005B5AB9"/>
    <w:rsid w:val="005C2CD0"/>
    <w:rsid w:val="005F1CC0"/>
    <w:rsid w:val="006118E4"/>
    <w:rsid w:val="00617C8B"/>
    <w:rsid w:val="006315F2"/>
    <w:rsid w:val="0066745F"/>
    <w:rsid w:val="0069710D"/>
    <w:rsid w:val="006A0897"/>
    <w:rsid w:val="006A5D11"/>
    <w:rsid w:val="006D014A"/>
    <w:rsid w:val="006D1B61"/>
    <w:rsid w:val="006D7551"/>
    <w:rsid w:val="006E1DAB"/>
    <w:rsid w:val="006E71D5"/>
    <w:rsid w:val="006F67AC"/>
    <w:rsid w:val="00702332"/>
    <w:rsid w:val="00771202"/>
    <w:rsid w:val="00787358"/>
    <w:rsid w:val="007B446B"/>
    <w:rsid w:val="007C17CE"/>
    <w:rsid w:val="007D3A51"/>
    <w:rsid w:val="007F1874"/>
    <w:rsid w:val="00830A1B"/>
    <w:rsid w:val="008354E4"/>
    <w:rsid w:val="00863A57"/>
    <w:rsid w:val="008976A4"/>
    <w:rsid w:val="008A55DC"/>
    <w:rsid w:val="008D30DC"/>
    <w:rsid w:val="008D7F34"/>
    <w:rsid w:val="008F2F84"/>
    <w:rsid w:val="008F5F76"/>
    <w:rsid w:val="009053F4"/>
    <w:rsid w:val="00907D0A"/>
    <w:rsid w:val="009204F7"/>
    <w:rsid w:val="0094714B"/>
    <w:rsid w:val="00956227"/>
    <w:rsid w:val="00957888"/>
    <w:rsid w:val="00961A58"/>
    <w:rsid w:val="00964ACF"/>
    <w:rsid w:val="00973F5C"/>
    <w:rsid w:val="00974B03"/>
    <w:rsid w:val="00977181"/>
    <w:rsid w:val="009809AE"/>
    <w:rsid w:val="0099687A"/>
    <w:rsid w:val="009C1094"/>
    <w:rsid w:val="009D16FA"/>
    <w:rsid w:val="009E57AB"/>
    <w:rsid w:val="009E6442"/>
    <w:rsid w:val="009F22BC"/>
    <w:rsid w:val="009F553A"/>
    <w:rsid w:val="009F6105"/>
    <w:rsid w:val="00A1707C"/>
    <w:rsid w:val="00A33597"/>
    <w:rsid w:val="00A45434"/>
    <w:rsid w:val="00A52D9C"/>
    <w:rsid w:val="00A5621C"/>
    <w:rsid w:val="00A60F31"/>
    <w:rsid w:val="00A801E9"/>
    <w:rsid w:val="00A95195"/>
    <w:rsid w:val="00AA4F80"/>
    <w:rsid w:val="00AC1221"/>
    <w:rsid w:val="00AC4B8E"/>
    <w:rsid w:val="00AE2864"/>
    <w:rsid w:val="00AF60B6"/>
    <w:rsid w:val="00B221F4"/>
    <w:rsid w:val="00B40A7D"/>
    <w:rsid w:val="00B51856"/>
    <w:rsid w:val="00B76162"/>
    <w:rsid w:val="00B85F9D"/>
    <w:rsid w:val="00BB0B7D"/>
    <w:rsid w:val="00BB122B"/>
    <w:rsid w:val="00BD1C03"/>
    <w:rsid w:val="00BD4761"/>
    <w:rsid w:val="00BE2436"/>
    <w:rsid w:val="00BE268F"/>
    <w:rsid w:val="00BE3E7A"/>
    <w:rsid w:val="00BF71C0"/>
    <w:rsid w:val="00C13FB3"/>
    <w:rsid w:val="00C25252"/>
    <w:rsid w:val="00C32707"/>
    <w:rsid w:val="00C37CC5"/>
    <w:rsid w:val="00C6464F"/>
    <w:rsid w:val="00C67407"/>
    <w:rsid w:val="00C72B79"/>
    <w:rsid w:val="00C74164"/>
    <w:rsid w:val="00CA1A46"/>
    <w:rsid w:val="00CA2346"/>
    <w:rsid w:val="00CA6EBB"/>
    <w:rsid w:val="00CD0111"/>
    <w:rsid w:val="00CD0BD5"/>
    <w:rsid w:val="00CD0C55"/>
    <w:rsid w:val="00CD27C0"/>
    <w:rsid w:val="00CF3B1E"/>
    <w:rsid w:val="00CF42CE"/>
    <w:rsid w:val="00D2333E"/>
    <w:rsid w:val="00D5357B"/>
    <w:rsid w:val="00D54D0F"/>
    <w:rsid w:val="00D65E32"/>
    <w:rsid w:val="00D733F4"/>
    <w:rsid w:val="00D8481A"/>
    <w:rsid w:val="00D900C0"/>
    <w:rsid w:val="00D94EF0"/>
    <w:rsid w:val="00DA71D1"/>
    <w:rsid w:val="00DA7C5E"/>
    <w:rsid w:val="00DC1F65"/>
    <w:rsid w:val="00DD46D3"/>
    <w:rsid w:val="00DF52A9"/>
    <w:rsid w:val="00E22A4B"/>
    <w:rsid w:val="00E75B95"/>
    <w:rsid w:val="00E94366"/>
    <w:rsid w:val="00EA6E52"/>
    <w:rsid w:val="00EE0FC8"/>
    <w:rsid w:val="00F123E9"/>
    <w:rsid w:val="00F15F6D"/>
    <w:rsid w:val="00F25643"/>
    <w:rsid w:val="00F3636C"/>
    <w:rsid w:val="00F430FD"/>
    <w:rsid w:val="00F51E52"/>
    <w:rsid w:val="00F64B20"/>
    <w:rsid w:val="00F90416"/>
    <w:rsid w:val="00F958A8"/>
    <w:rsid w:val="00F9772E"/>
    <w:rsid w:val="00FA4A90"/>
    <w:rsid w:val="00FA7508"/>
    <w:rsid w:val="00FD20EF"/>
    <w:rsid w:val="026A58AB"/>
    <w:rsid w:val="04073203"/>
    <w:rsid w:val="048843EE"/>
    <w:rsid w:val="05015950"/>
    <w:rsid w:val="06255BC2"/>
    <w:rsid w:val="07576DFF"/>
    <w:rsid w:val="08955281"/>
    <w:rsid w:val="0C5D680F"/>
    <w:rsid w:val="0C655925"/>
    <w:rsid w:val="0CCA79F8"/>
    <w:rsid w:val="0F0C1DD5"/>
    <w:rsid w:val="0F7C6648"/>
    <w:rsid w:val="0FD23E1D"/>
    <w:rsid w:val="10791244"/>
    <w:rsid w:val="10797237"/>
    <w:rsid w:val="14952EE7"/>
    <w:rsid w:val="17DF02C7"/>
    <w:rsid w:val="1B0D45DE"/>
    <w:rsid w:val="1F804316"/>
    <w:rsid w:val="20DB0664"/>
    <w:rsid w:val="20EF14F3"/>
    <w:rsid w:val="214A4B6C"/>
    <w:rsid w:val="225F1EAA"/>
    <w:rsid w:val="23E819B6"/>
    <w:rsid w:val="249B1383"/>
    <w:rsid w:val="24A6733C"/>
    <w:rsid w:val="24EE1B49"/>
    <w:rsid w:val="251A293E"/>
    <w:rsid w:val="272F1FA5"/>
    <w:rsid w:val="28C450C1"/>
    <w:rsid w:val="2A167E47"/>
    <w:rsid w:val="2A297180"/>
    <w:rsid w:val="2B606BD1"/>
    <w:rsid w:val="2BAD20BC"/>
    <w:rsid w:val="2BBE63EC"/>
    <w:rsid w:val="2BCA4992"/>
    <w:rsid w:val="2DFD467B"/>
    <w:rsid w:val="2EE75038"/>
    <w:rsid w:val="2FED3A55"/>
    <w:rsid w:val="30223F4A"/>
    <w:rsid w:val="307A2172"/>
    <w:rsid w:val="31336B36"/>
    <w:rsid w:val="317D0410"/>
    <w:rsid w:val="32851B1A"/>
    <w:rsid w:val="337B28B9"/>
    <w:rsid w:val="343B6A26"/>
    <w:rsid w:val="36904BD4"/>
    <w:rsid w:val="37775226"/>
    <w:rsid w:val="38804D57"/>
    <w:rsid w:val="39290F4A"/>
    <w:rsid w:val="394F17F0"/>
    <w:rsid w:val="39B76556"/>
    <w:rsid w:val="39CF29F7"/>
    <w:rsid w:val="3A6648A1"/>
    <w:rsid w:val="3B2375D5"/>
    <w:rsid w:val="3B2A71DE"/>
    <w:rsid w:val="3BDC4964"/>
    <w:rsid w:val="3D7604D6"/>
    <w:rsid w:val="3D9655BA"/>
    <w:rsid w:val="3DD05E38"/>
    <w:rsid w:val="3E7F765A"/>
    <w:rsid w:val="3EAD4BDF"/>
    <w:rsid w:val="3EEA2F2A"/>
    <w:rsid w:val="3FDCDFC8"/>
    <w:rsid w:val="40B008AA"/>
    <w:rsid w:val="42B475CA"/>
    <w:rsid w:val="43FE3937"/>
    <w:rsid w:val="440436A7"/>
    <w:rsid w:val="446B17F5"/>
    <w:rsid w:val="44A512B2"/>
    <w:rsid w:val="45A66DF6"/>
    <w:rsid w:val="46554711"/>
    <w:rsid w:val="47293D8B"/>
    <w:rsid w:val="472B20B6"/>
    <w:rsid w:val="47D91D8D"/>
    <w:rsid w:val="48327CF0"/>
    <w:rsid w:val="489F6B33"/>
    <w:rsid w:val="48E94252"/>
    <w:rsid w:val="49E55983"/>
    <w:rsid w:val="4A2303F5"/>
    <w:rsid w:val="4B0C247A"/>
    <w:rsid w:val="4CEC4311"/>
    <w:rsid w:val="4D8C2C1B"/>
    <w:rsid w:val="4E3B5550"/>
    <w:rsid w:val="5075461D"/>
    <w:rsid w:val="507800F0"/>
    <w:rsid w:val="50FB3E2B"/>
    <w:rsid w:val="555F7619"/>
    <w:rsid w:val="57D32049"/>
    <w:rsid w:val="57EF087C"/>
    <w:rsid w:val="5966197E"/>
    <w:rsid w:val="5A01185B"/>
    <w:rsid w:val="5AC90C7C"/>
    <w:rsid w:val="5ADCA623"/>
    <w:rsid w:val="5B61411C"/>
    <w:rsid w:val="5B6C0964"/>
    <w:rsid w:val="5E043911"/>
    <w:rsid w:val="5E552267"/>
    <w:rsid w:val="5F5E0119"/>
    <w:rsid w:val="5F9A5E4E"/>
    <w:rsid w:val="5FAD716E"/>
    <w:rsid w:val="603B2333"/>
    <w:rsid w:val="61070583"/>
    <w:rsid w:val="610D59C6"/>
    <w:rsid w:val="61A84853"/>
    <w:rsid w:val="62B2532D"/>
    <w:rsid w:val="645412F8"/>
    <w:rsid w:val="66666777"/>
    <w:rsid w:val="66CE6749"/>
    <w:rsid w:val="67AC2BC3"/>
    <w:rsid w:val="68CA1553"/>
    <w:rsid w:val="6D712701"/>
    <w:rsid w:val="700B70F6"/>
    <w:rsid w:val="702444B9"/>
    <w:rsid w:val="7140506C"/>
    <w:rsid w:val="733D3845"/>
    <w:rsid w:val="736236E7"/>
    <w:rsid w:val="73636B1F"/>
    <w:rsid w:val="76CE1543"/>
    <w:rsid w:val="78056103"/>
    <w:rsid w:val="78C957C6"/>
    <w:rsid w:val="792A3948"/>
    <w:rsid w:val="79E9649C"/>
    <w:rsid w:val="7A7D9A84"/>
    <w:rsid w:val="7A965738"/>
    <w:rsid w:val="7B3C6077"/>
    <w:rsid w:val="7B575CC5"/>
    <w:rsid w:val="7BC82184"/>
    <w:rsid w:val="7BFAF4E7"/>
    <w:rsid w:val="7C7CB29D"/>
    <w:rsid w:val="7DC575FB"/>
    <w:rsid w:val="7E260B81"/>
    <w:rsid w:val="7F6A42D2"/>
    <w:rsid w:val="9EFC226C"/>
    <w:rsid w:val="A7BAF72C"/>
    <w:rsid w:val="CBD263BB"/>
    <w:rsid w:val="D0D355DF"/>
    <w:rsid w:val="D67F8082"/>
    <w:rsid w:val="DADDEB8F"/>
    <w:rsid w:val="DDDF6881"/>
    <w:rsid w:val="EFC7FBAB"/>
    <w:rsid w:val="F7FBF01D"/>
    <w:rsid w:val="FB7C9EC3"/>
    <w:rsid w:val="FD6F2AED"/>
    <w:rsid w:val="FE5F71A0"/>
    <w:rsid w:val="FF7F59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480" w:firstLineChars="200"/>
    </w:pPr>
    <w:rPr>
      <w:rFonts w:ascii="Times New Roman" w:hAnsi="Times New Roman" w:eastAsia="宋体" w:cs="Times New Roman"/>
      <w:kern w:val="2"/>
      <w:sz w:val="21"/>
      <w:lang w:val="en-US" w:eastAsia="zh-CN" w:bidi="ar-SA"/>
    </w:rPr>
  </w:style>
  <w:style w:type="paragraph" w:styleId="2">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unhideWhenUsed/>
    <w:qFormat/>
    <w:uiPriority w:val="99"/>
  </w:style>
  <w:style w:type="paragraph" w:styleId="4">
    <w:name w:val="footer"/>
    <w:basedOn w:val="1"/>
    <w:link w:val="16"/>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footnote text"/>
    <w:basedOn w:val="1"/>
    <w:link w:val="23"/>
    <w:autoRedefine/>
    <w:semiHidden/>
    <w:unhideWhenUsed/>
    <w:qFormat/>
    <w:uiPriority w:val="99"/>
    <w:pPr>
      <w:snapToGrid w:val="0"/>
    </w:pPr>
    <w:rPr>
      <w:sz w:val="18"/>
      <w:szCs w:val="18"/>
    </w:rPr>
  </w:style>
  <w:style w:type="paragraph" w:styleId="7">
    <w:name w:val="Normal (Web)"/>
    <w:basedOn w:val="1"/>
    <w:autoRedefine/>
    <w:qFormat/>
    <w:uiPriority w:val="99"/>
    <w:pPr>
      <w:spacing w:beforeAutospacing="1" w:afterAutospacing="1"/>
    </w:pPr>
    <w:rPr>
      <w:kern w:val="0"/>
      <w:sz w:val="24"/>
    </w:rPr>
  </w:style>
  <w:style w:type="paragraph" w:styleId="8">
    <w:name w:val="annotation subject"/>
    <w:basedOn w:val="3"/>
    <w:next w:val="3"/>
    <w:link w:val="20"/>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semiHidden/>
    <w:unhideWhenUsed/>
    <w:qFormat/>
    <w:uiPriority w:val="99"/>
    <w:rPr>
      <w:color w:val="0000FF"/>
      <w:u w:val="single"/>
    </w:rPr>
  </w:style>
  <w:style w:type="character" w:styleId="13">
    <w:name w:val="annotation reference"/>
    <w:basedOn w:val="11"/>
    <w:autoRedefine/>
    <w:semiHidden/>
    <w:unhideWhenUsed/>
    <w:qFormat/>
    <w:uiPriority w:val="99"/>
    <w:rPr>
      <w:sz w:val="21"/>
      <w:szCs w:val="21"/>
    </w:rPr>
  </w:style>
  <w:style w:type="character" w:styleId="14">
    <w:name w:val="footnote reference"/>
    <w:basedOn w:val="11"/>
    <w:autoRedefine/>
    <w:semiHidden/>
    <w:unhideWhenUsed/>
    <w:qFormat/>
    <w:uiPriority w:val="99"/>
    <w:rPr>
      <w:vertAlign w:val="superscript"/>
    </w:rPr>
  </w:style>
  <w:style w:type="character" w:customStyle="1" w:styleId="15">
    <w:name w:val="页眉 字符"/>
    <w:basedOn w:val="11"/>
    <w:link w:val="5"/>
    <w:autoRedefine/>
    <w:qFormat/>
    <w:uiPriority w:val="99"/>
    <w:rPr>
      <w:sz w:val="18"/>
      <w:szCs w:val="18"/>
    </w:rPr>
  </w:style>
  <w:style w:type="character" w:customStyle="1" w:styleId="16">
    <w:name w:val="页脚 字符"/>
    <w:basedOn w:val="11"/>
    <w:link w:val="4"/>
    <w:autoRedefine/>
    <w:qFormat/>
    <w:uiPriority w:val="99"/>
    <w:rPr>
      <w:sz w:val="18"/>
      <w:szCs w:val="18"/>
    </w:rPr>
  </w:style>
  <w:style w:type="character" w:customStyle="1" w:styleId="17">
    <w:name w:val="标题 2 字符"/>
    <w:basedOn w:val="11"/>
    <w:link w:val="2"/>
    <w:autoRedefine/>
    <w:qFormat/>
    <w:uiPriority w:val="9"/>
    <w:rPr>
      <w:rFonts w:asciiTheme="majorHAnsi" w:hAnsiTheme="majorHAnsi" w:eastAsiaTheme="majorEastAsia" w:cstheme="majorBidi"/>
      <w:b/>
      <w:bCs/>
      <w:sz w:val="32"/>
      <w:szCs w:val="32"/>
    </w:rPr>
  </w:style>
  <w:style w:type="paragraph" w:styleId="18">
    <w:name w:val="List Paragraph"/>
    <w:basedOn w:val="1"/>
    <w:autoRedefine/>
    <w:qFormat/>
    <w:uiPriority w:val="34"/>
    <w:pPr>
      <w:ind w:firstLine="420"/>
    </w:pPr>
  </w:style>
  <w:style w:type="character" w:customStyle="1" w:styleId="19">
    <w:name w:val="批注文字 字符"/>
    <w:basedOn w:val="11"/>
    <w:link w:val="3"/>
    <w:autoRedefine/>
    <w:qFormat/>
    <w:uiPriority w:val="99"/>
    <w:rPr>
      <w:kern w:val="2"/>
      <w:sz w:val="21"/>
    </w:rPr>
  </w:style>
  <w:style w:type="character" w:customStyle="1" w:styleId="20">
    <w:name w:val="批注主题 字符"/>
    <w:basedOn w:val="19"/>
    <w:link w:val="8"/>
    <w:autoRedefine/>
    <w:semiHidden/>
    <w:qFormat/>
    <w:uiPriority w:val="99"/>
    <w:rPr>
      <w:b/>
      <w:bCs/>
      <w:kern w:val="2"/>
      <w:sz w:val="21"/>
    </w:rPr>
  </w:style>
  <w:style w:type="paragraph" w:customStyle="1" w:styleId="21">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22">
    <w:name w:val="修订2"/>
    <w:autoRedefine/>
    <w:hidden/>
    <w:unhideWhenUsed/>
    <w:qFormat/>
    <w:uiPriority w:val="99"/>
    <w:rPr>
      <w:rFonts w:ascii="Times New Roman" w:hAnsi="Times New Roman" w:eastAsia="宋体" w:cs="Times New Roman"/>
      <w:kern w:val="2"/>
      <w:sz w:val="21"/>
      <w:lang w:val="en-US" w:eastAsia="zh-CN" w:bidi="ar-SA"/>
    </w:rPr>
  </w:style>
  <w:style w:type="character" w:customStyle="1" w:styleId="23">
    <w:name w:val="脚注文本 字符"/>
    <w:basedOn w:val="11"/>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6186C-EBC1-4844-A56A-928DC1659436}">
  <ds:schemaRefs/>
</ds:datastoreItem>
</file>

<file path=docProps/app.xml><?xml version="1.0" encoding="utf-8"?>
<Properties xmlns="http://schemas.openxmlformats.org/officeDocument/2006/extended-properties" xmlns:vt="http://schemas.openxmlformats.org/officeDocument/2006/docPropsVTypes">
  <Template>Normal</Template>
  <Pages>8</Pages>
  <Words>723</Words>
  <Characters>4127</Characters>
  <Lines>34</Lines>
  <Paragraphs>9</Paragraphs>
  <TotalTime>12</TotalTime>
  <ScaleCrop>false</ScaleCrop>
  <LinksUpToDate>false</LinksUpToDate>
  <CharactersWithSpaces>4841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2024-04-01T03:41:00Z</dcterms:created>
  <dc:creator>♥ 孙</dc:creator>
  <cp:lastModifiedBy>倩儿</cp:lastModifiedBy>
  <cp:lastPrinted>2024-03-08T10:14:00Z</cp:lastPrinted>
  <dcterms:modified xsi:type="dcterms:W3CDTF">2024-04-07T10:26:21Z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3394E8057EE641029C9E66D01C7CA6F0_12</vt:lpwstr>
  </property>
</Properties>
</file>